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1A2D" w:rsidRDefault="00480222" w:rsidP="008467D5">
      <w:pPr>
        <w:pBdr>
          <w:bottom w:val="single" w:sz="18" w:space="1" w:color="auto"/>
        </w:pBdr>
        <w:tabs>
          <w:tab w:val="left" w:pos="-1440"/>
          <w:tab w:val="left" w:pos="-720"/>
          <w:tab w:val="left" w:pos="1"/>
        </w:tabs>
        <w:jc w:val="both"/>
        <w:rPr>
          <w:rFonts w:ascii="Arial" w:hAnsi="Arial"/>
          <w:b/>
          <w:noProof/>
          <w:sz w:val="24"/>
        </w:rPr>
      </w:pPr>
      <w:r>
        <w:rPr>
          <w:rFonts w:ascii="Arial" w:hAnsi="Arial"/>
          <w:b/>
          <w:noProof/>
          <w:sz w:val="24"/>
          <w:lang w:val="en-GB" w:eastAsia="en-GB"/>
        </w:rPr>
        <w:drawing>
          <wp:inline distT="0" distB="0" distL="0" distR="0" wp14:anchorId="0B416D93" wp14:editId="68155D2B">
            <wp:extent cx="2613804" cy="55124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rsidR="00F13220" w:rsidRPr="00F150FB" w:rsidRDefault="00F13220" w:rsidP="008467D5">
      <w:pPr>
        <w:pBdr>
          <w:bottom w:val="single" w:sz="18" w:space="1" w:color="auto"/>
        </w:pBdr>
        <w:tabs>
          <w:tab w:val="left" w:pos="-1440"/>
          <w:tab w:val="left" w:pos="-720"/>
          <w:tab w:val="left" w:pos="1"/>
        </w:tabs>
        <w:jc w:val="both"/>
        <w:rPr>
          <w:rFonts w:ascii="Arial" w:hAnsi="Arial"/>
          <w:b/>
          <w:sz w:val="4"/>
          <w:szCs w:val="4"/>
        </w:rPr>
      </w:pPr>
    </w:p>
    <w:p w:rsidR="00D75295" w:rsidRDefault="00F150FB" w:rsidP="00F105B7">
      <w:pPr>
        <w:pStyle w:val="ProductNumber"/>
      </w:pPr>
      <w:r>
        <w:t>9B18M132</w:t>
      </w:r>
    </w:p>
    <w:p w:rsidR="00D75295" w:rsidRDefault="00D75295" w:rsidP="00D75295">
      <w:pPr>
        <w:jc w:val="right"/>
        <w:rPr>
          <w:rFonts w:ascii="Arial" w:hAnsi="Arial"/>
          <w:b/>
          <w:sz w:val="28"/>
          <w:szCs w:val="28"/>
        </w:rPr>
      </w:pPr>
    </w:p>
    <w:p w:rsidR="00013360" w:rsidRPr="00013360" w:rsidRDefault="00013360" w:rsidP="00D75295">
      <w:pPr>
        <w:jc w:val="right"/>
        <w:rPr>
          <w:rFonts w:ascii="Arial" w:hAnsi="Arial"/>
          <w:b/>
          <w:sz w:val="28"/>
          <w:szCs w:val="28"/>
        </w:rPr>
      </w:pPr>
    </w:p>
    <w:p w:rsidR="00013360" w:rsidRDefault="00F150FB" w:rsidP="00013360">
      <w:pPr>
        <w:pStyle w:val="CaseTitle"/>
        <w:spacing w:after="0" w:line="240" w:lineRule="auto"/>
        <w:rPr>
          <w:sz w:val="20"/>
          <w:szCs w:val="20"/>
        </w:rPr>
      </w:pPr>
      <w:r w:rsidRPr="003C39CF">
        <w:rPr>
          <w:rFonts w:ascii="Arial Bold" w:hAnsi="Arial Bold"/>
          <w:lang w:val="en-GB"/>
        </w:rPr>
        <w:t>Cap and Trade in Ontario</w:t>
      </w:r>
    </w:p>
    <w:p w:rsidR="00CA3976" w:rsidRDefault="00CA3976" w:rsidP="00013360">
      <w:pPr>
        <w:pStyle w:val="CaseTitle"/>
        <w:spacing w:after="0" w:line="240" w:lineRule="auto"/>
        <w:rPr>
          <w:sz w:val="20"/>
          <w:szCs w:val="20"/>
        </w:rPr>
      </w:pPr>
    </w:p>
    <w:p w:rsidR="00013360" w:rsidRPr="00013360" w:rsidRDefault="00013360" w:rsidP="00013360">
      <w:pPr>
        <w:pStyle w:val="CaseTitle"/>
        <w:spacing w:after="0" w:line="240" w:lineRule="auto"/>
        <w:rPr>
          <w:sz w:val="20"/>
          <w:szCs w:val="20"/>
        </w:rPr>
      </w:pPr>
    </w:p>
    <w:p w:rsidR="00627C63" w:rsidRPr="00627C63" w:rsidRDefault="00F150FB" w:rsidP="00627C63">
      <w:pPr>
        <w:pStyle w:val="StyleCopyrightStatementAfter0ptBottomSinglesolidline1"/>
      </w:pPr>
      <w:r w:rsidRPr="003C39CF">
        <w:rPr>
          <w:lang w:val="en-GB"/>
        </w:rPr>
        <w:t>Adam Fremeth and Patrick Shulist</w:t>
      </w:r>
      <w:r w:rsidR="00F94C30" w:rsidRPr="00F94C30">
        <w:t xml:space="preserve"> </w:t>
      </w:r>
      <w:r w:rsidR="004B632F" w:rsidRPr="00104567">
        <w:t>wrote this</w:t>
      </w:r>
      <w:r w:rsidR="004B632F">
        <w:t xml:space="preserve"> </w:t>
      </w:r>
      <w:r w:rsidR="00152682">
        <w:t>case</w:t>
      </w:r>
      <w:r w:rsidR="004B632F">
        <w:t xml:space="preserve"> </w:t>
      </w:r>
      <w:r w:rsidR="00152682" w:rsidRPr="00104567">
        <w:t>solely to provide material for class discussion. The</w:t>
      </w:r>
      <w:r w:rsidR="001C7777">
        <w:t xml:space="preserve"> author</w:t>
      </w:r>
      <w:r w:rsidR="001A22D1">
        <w:t>s</w:t>
      </w:r>
      <w:r w:rsidR="00152682">
        <w:t xml:space="preserve"> do not intend to illustrate either effective or ineffective handling of a managerial situation. The author</w:t>
      </w:r>
      <w:r w:rsidR="001A22D1">
        <w:t>s</w:t>
      </w:r>
      <w:r w:rsidR="00152682">
        <w:t xml:space="preserve"> may have disguised certain names and other identifying information to protect confidentiality.</w:t>
      </w:r>
    </w:p>
    <w:p w:rsidR="00F94C30" w:rsidRDefault="00F94C30" w:rsidP="00751E0B">
      <w:pPr>
        <w:pStyle w:val="StyleStyleCopyrightStatementAfter0ptBottomSinglesolid"/>
        <w:rPr>
          <w:rFonts w:cs="Arial"/>
          <w:szCs w:val="16"/>
          <w:lang w:val="en-CA"/>
        </w:rPr>
      </w:pPr>
    </w:p>
    <w:p w:rsidR="00480222" w:rsidRDefault="00480222" w:rsidP="00480222">
      <w:pPr>
        <w:jc w:val="both"/>
        <w:rPr>
          <w:rFonts w:ascii="Arial" w:hAnsi="Arial" w:cs="Arial"/>
          <w:i/>
          <w:iCs/>
          <w:sz w:val="16"/>
          <w:szCs w:val="16"/>
          <w:lang w:val="en-CA"/>
        </w:rPr>
      </w:pPr>
      <w:r>
        <w:rPr>
          <w:rFonts w:ascii="Arial" w:hAnsi="Arial" w:cs="Arial"/>
          <w:i/>
          <w:iCs/>
          <w:sz w:val="16"/>
          <w:szCs w:val="16"/>
          <w:lang w:val="en-CA"/>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w:t>
      </w:r>
      <w:hyperlink r:id="rId10" w:history="1">
        <w:r w:rsidRPr="00452769">
          <w:rPr>
            <w:rFonts w:ascii="Arial" w:hAnsi="Arial" w:cs="Arial"/>
            <w:i/>
            <w:iCs/>
            <w:sz w:val="16"/>
            <w:szCs w:val="16"/>
            <w:lang w:val="en-CA"/>
          </w:rPr>
          <w:t>cases@ivey.ca</w:t>
        </w:r>
      </w:hyperlink>
      <w:r>
        <w:rPr>
          <w:rFonts w:ascii="Arial" w:hAnsi="Arial" w:cs="Arial"/>
          <w:i/>
          <w:iCs/>
          <w:sz w:val="16"/>
          <w:szCs w:val="16"/>
          <w:lang w:val="en-CA"/>
        </w:rPr>
        <w:t xml:space="preserve">; </w:t>
      </w:r>
      <w:hyperlink r:id="rId11" w:history="1">
        <w:r w:rsidRPr="00452769">
          <w:rPr>
            <w:rFonts w:ascii="Arial" w:hAnsi="Arial" w:cs="Arial"/>
            <w:i/>
            <w:iCs/>
            <w:sz w:val="16"/>
            <w:szCs w:val="16"/>
            <w:lang w:val="en-CA"/>
          </w:rPr>
          <w:t>www.iveycases.com</w:t>
        </w:r>
      </w:hyperlink>
      <w:r>
        <w:rPr>
          <w:rFonts w:ascii="Arial" w:hAnsi="Arial" w:cs="Arial"/>
          <w:i/>
          <w:iCs/>
          <w:sz w:val="16"/>
          <w:szCs w:val="16"/>
          <w:lang w:val="en-CA"/>
        </w:rPr>
        <w:t>.</w:t>
      </w:r>
    </w:p>
    <w:p w:rsidR="00480222" w:rsidRDefault="00480222" w:rsidP="00480222">
      <w:pPr>
        <w:pStyle w:val="StyleCopyrightStatementAfter0ptBottomSinglesolidline1"/>
        <w:pBdr>
          <w:top w:val="none" w:sz="0" w:space="0" w:color="auto"/>
        </w:pBdr>
      </w:pPr>
    </w:p>
    <w:p w:rsidR="00751E0B" w:rsidRDefault="00480222" w:rsidP="00480222">
      <w:pPr>
        <w:pStyle w:val="StyleStyleCopyrightStatementAfter0ptBottomSinglesolid"/>
      </w:pPr>
      <w:r>
        <w:t>Copyright © 20</w:t>
      </w:r>
      <w:r w:rsidR="00F150FB">
        <w:t>18</w:t>
      </w:r>
      <w:r>
        <w:t>, Ivey Business School Foundation</w:t>
      </w:r>
      <w:r>
        <w:tab/>
        <w:t>Version: 20</w:t>
      </w:r>
      <w:r w:rsidR="00F150FB">
        <w:t>18</w:t>
      </w:r>
      <w:r>
        <w:t>-</w:t>
      </w:r>
      <w:r w:rsidR="00F150FB">
        <w:t>09</w:t>
      </w:r>
      <w:r>
        <w:t>-</w:t>
      </w:r>
      <w:r w:rsidR="00543E55">
        <w:t>17</w:t>
      </w:r>
    </w:p>
    <w:p w:rsidR="00751E0B" w:rsidRPr="007D3A7E" w:rsidRDefault="00751E0B" w:rsidP="00751E0B">
      <w:pPr>
        <w:pStyle w:val="StyleCopyrightStatementAfter0ptBottomSinglesolidline1"/>
        <w:rPr>
          <w:rFonts w:ascii="Times New Roman" w:hAnsi="Times New Roman"/>
          <w:sz w:val="18"/>
          <w:szCs w:val="18"/>
        </w:rPr>
      </w:pPr>
    </w:p>
    <w:p w:rsidR="004B632F" w:rsidRPr="007D3A7E" w:rsidRDefault="004B632F" w:rsidP="004B632F">
      <w:pPr>
        <w:pStyle w:val="StyleCopyrightStatementAfter0ptBottomSinglesolidline1"/>
        <w:rPr>
          <w:rFonts w:ascii="Times New Roman" w:hAnsi="Times New Roman"/>
          <w:sz w:val="18"/>
          <w:szCs w:val="18"/>
        </w:rPr>
      </w:pPr>
    </w:p>
    <w:p w:rsidR="00F150FB" w:rsidRPr="003C39CF" w:rsidRDefault="00F150FB" w:rsidP="00F150FB">
      <w:pPr>
        <w:pStyle w:val="BodyTextMain"/>
        <w:rPr>
          <w:lang w:val="en-GB"/>
        </w:rPr>
      </w:pPr>
      <w:r w:rsidRPr="003C39CF">
        <w:rPr>
          <w:lang w:val="en-GB"/>
        </w:rPr>
        <w:t>In January 2017, the Canadian province of Ontario launched its cap</w:t>
      </w:r>
      <w:r>
        <w:rPr>
          <w:lang w:val="en-GB"/>
        </w:rPr>
        <w:t>-</w:t>
      </w:r>
      <w:r w:rsidRPr="003C39CF">
        <w:rPr>
          <w:lang w:val="en-GB"/>
        </w:rPr>
        <w:t>and</w:t>
      </w:r>
      <w:r>
        <w:rPr>
          <w:lang w:val="en-GB"/>
        </w:rPr>
        <w:t>-</w:t>
      </w:r>
      <w:r w:rsidRPr="003C39CF">
        <w:rPr>
          <w:lang w:val="en-GB"/>
        </w:rPr>
        <w:t>trade program in an effort to curb greenhouse gas (GHG) emissions. Even before this, Ontario took a progressive position on combatting climate change that included shutting down coal-burning power plants, investing heavily in renewable power, and setting aggressive emissions</w:t>
      </w:r>
      <w:r>
        <w:rPr>
          <w:lang w:val="en-GB"/>
        </w:rPr>
        <w:t>-</w:t>
      </w:r>
      <w:r w:rsidRPr="003C39CF">
        <w:rPr>
          <w:lang w:val="en-GB"/>
        </w:rPr>
        <w:t>reduction targets across all sectors. These efforts allowed the province to meet its 2014 target of reducing emissions to 6 per cent below 1990 levels. Longer term, Ontario’s targets included reducing emissions levels to 15 per cent below 1990 levels by 2020, 37 per cent by 2030, and 80 per cent by 2050. These targets complemented Ontario’s commitment to the United Nation’s 2015 Paris Agreement</w:t>
      </w:r>
      <w:r>
        <w:rPr>
          <w:lang w:val="en-GB"/>
        </w:rPr>
        <w:t>.</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Despite the province representing less than 1 per cent of global GHG emissions, the per capita emissions for each resident of Ontario was 12.6 tonnes. Globally, Canada was among the world’s top emitters per capita (see Exhibit 1). In Ontario, the transportation, industry, and buildings sectors were responsible for most GHG emissions (see Exhibit 2). Within the industry sector, the major polluters included manufacturing, cement production, chemical processing, and steel production. The province already operated a low-carbon electricity grid dominated by nuclear and hydro generation, with growing representation by wind and solar power. As a result, the province’s carbon</w:t>
      </w:r>
      <w:r>
        <w:rPr>
          <w:lang w:val="en-GB"/>
        </w:rPr>
        <w:t>-</w:t>
      </w:r>
      <w:r w:rsidRPr="003C39CF">
        <w:rPr>
          <w:lang w:val="en-GB"/>
        </w:rPr>
        <w:t>market scheme was targeted on large industrial companies that emitted more than 25,000 tonnes per year of carbon dioxide equivalent (CO</w:t>
      </w:r>
      <w:r w:rsidRPr="003C39CF">
        <w:rPr>
          <w:vertAlign w:val="subscript"/>
          <w:lang w:val="en-GB"/>
        </w:rPr>
        <w:t>2</w:t>
      </w:r>
      <w:r w:rsidRPr="003C39CF">
        <w:rPr>
          <w:lang w:val="en-GB"/>
        </w:rPr>
        <w:t>e).</w:t>
      </w:r>
      <w:r w:rsidRPr="003C39CF">
        <w:rPr>
          <w:rStyle w:val="FootnoteReference"/>
          <w:lang w:val="en-GB"/>
        </w:rPr>
        <w:footnoteReference w:id="1"/>
      </w:r>
      <w:r w:rsidRPr="003C39CF">
        <w:rPr>
          <w:lang w:val="en-GB"/>
        </w:rPr>
        <w:t xml:space="preserve"> Firms that emitted more than 10,000 tonnes but fewer than 25,000 had the option of entering the market on a voluntary basis. The expected downstream impact to the average Ontario household would be an increase of about </w:t>
      </w:r>
      <w:r>
        <w:rPr>
          <w:lang w:val="en-GB"/>
        </w:rPr>
        <w:t>CA</w:t>
      </w:r>
      <w:r w:rsidRPr="003C39CF">
        <w:rPr>
          <w:lang w:val="en-GB"/>
        </w:rPr>
        <w:t>$150</w:t>
      </w:r>
      <w:r>
        <w:rPr>
          <w:rStyle w:val="FootnoteReference"/>
          <w:lang w:val="en-GB"/>
        </w:rPr>
        <w:footnoteReference w:id="2"/>
      </w:r>
      <w:r w:rsidRPr="003C39CF">
        <w:rPr>
          <w:lang w:val="en-GB"/>
        </w:rPr>
        <w:t xml:space="preserve"> per year in home</w:t>
      </w:r>
      <w:r>
        <w:rPr>
          <w:lang w:val="en-GB"/>
        </w:rPr>
        <w:t>-</w:t>
      </w:r>
      <w:r w:rsidRPr="003C39CF">
        <w:rPr>
          <w:lang w:val="en-GB"/>
        </w:rPr>
        <w:t>heating and car</w:t>
      </w:r>
      <w:r>
        <w:rPr>
          <w:lang w:val="en-GB"/>
        </w:rPr>
        <w:t>-</w:t>
      </w:r>
      <w:r w:rsidRPr="003C39CF">
        <w:rPr>
          <w:lang w:val="en-GB"/>
        </w:rPr>
        <w:t>fuel costs. However, cost increases would be felt less directly through the rest of the economy.</w:t>
      </w:r>
    </w:p>
    <w:p w:rsidR="00F150FB" w:rsidRPr="003C39CF" w:rsidRDefault="00F150FB" w:rsidP="00F150FB">
      <w:pPr>
        <w:pStyle w:val="BodyTextMain"/>
        <w:rPr>
          <w:lang w:val="en-GB"/>
        </w:rPr>
      </w:pPr>
    </w:p>
    <w:p w:rsidR="00F150FB" w:rsidRPr="003C39CF" w:rsidRDefault="00F150FB" w:rsidP="00F150FB">
      <w:pPr>
        <w:pStyle w:val="BodyTextMain"/>
        <w:rPr>
          <w:lang w:val="en-GB"/>
        </w:rPr>
      </w:pPr>
    </w:p>
    <w:p w:rsidR="00F150FB" w:rsidRPr="003C39CF" w:rsidRDefault="00F150FB" w:rsidP="00F150FB">
      <w:pPr>
        <w:pStyle w:val="Casehead1"/>
        <w:rPr>
          <w:lang w:val="en-GB"/>
        </w:rPr>
      </w:pPr>
      <w:r w:rsidRPr="003C39CF">
        <w:rPr>
          <w:lang w:val="en-GB"/>
        </w:rPr>
        <w:t>Greenhouse Gas Emissions and Climate Change</w:t>
      </w:r>
    </w:p>
    <w:p w:rsidR="00F150FB" w:rsidRPr="003C39CF" w:rsidRDefault="00F150FB" w:rsidP="00F150FB">
      <w:pPr>
        <w:jc w:val="both"/>
        <w:rPr>
          <w:lang w:val="en-GB"/>
        </w:rPr>
      </w:pPr>
    </w:p>
    <w:p w:rsidR="00F150FB" w:rsidRPr="003C39CF" w:rsidRDefault="00F150FB" w:rsidP="00F150FB">
      <w:pPr>
        <w:pStyle w:val="BodyTextMain"/>
        <w:rPr>
          <w:lang w:val="en-GB"/>
        </w:rPr>
      </w:pPr>
      <w:r w:rsidRPr="003C39CF">
        <w:rPr>
          <w:lang w:val="en-GB"/>
        </w:rPr>
        <w:t xml:space="preserve">At its core, GHG emissions were of public concern due to their propensity to increase the average global temperature. On its own, the temperature increase caused sea levels to rise, as polar ice caps melted and </w:t>
      </w:r>
      <w:r w:rsidRPr="003C39CF">
        <w:rPr>
          <w:lang w:val="en-GB"/>
        </w:rPr>
        <w:lastRenderedPageBreak/>
        <w:t>oceans underwent thermal expansion. This effect could potentially displace hundreds of millions of people living in low-lying areas. Furthermore, increasing temperatures created significant heat-related health risks, including the potential for some locations in South Asia to become unfit for human life.</w:t>
      </w:r>
      <w:r w:rsidRPr="003C39CF">
        <w:rPr>
          <w:rStyle w:val="FootnoteReference"/>
          <w:lang w:val="en-GB"/>
        </w:rPr>
        <w:footnoteReference w:id="3"/>
      </w:r>
      <w:r w:rsidRPr="003C39CF">
        <w:rPr>
          <w:lang w:val="en-GB"/>
        </w:rPr>
        <w:t xml:space="preserve"> More significantly, global warming changed the climate. Climatic changes were the driving force behind observed increases in severe weather events, flooding, droughts, heat waves, species extinction, the spread of tropical diseases, and ecosystem destruction. Similarly, climate change placed significant portions of the world’s population at risk of both food and water insecurity, which w</w:t>
      </w:r>
      <w:r>
        <w:rPr>
          <w:lang w:val="en-GB"/>
        </w:rPr>
        <w:t>ere</w:t>
      </w:r>
      <w:r w:rsidRPr="003C39CF">
        <w:rPr>
          <w:lang w:val="en-GB"/>
        </w:rPr>
        <w:t xml:space="preserve"> major risk</w:t>
      </w:r>
      <w:r>
        <w:rPr>
          <w:lang w:val="en-GB"/>
        </w:rPr>
        <w:t>s</w:t>
      </w:r>
      <w:r w:rsidRPr="003C39CF">
        <w:rPr>
          <w:lang w:val="en-GB"/>
        </w:rPr>
        <w:t xml:space="preserve"> to human life, geopolitical stability, and the global economy.</w:t>
      </w:r>
      <w:r w:rsidRPr="003C39CF">
        <w:rPr>
          <w:rStyle w:val="FootnoteReference"/>
          <w:lang w:val="en-GB"/>
        </w:rPr>
        <w:footnoteReference w:id="4"/>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There was broad scientific consensus that humans were the driving factor behind climate change. The intergovernmental panel on climate change was composed of thousands of scientists who synthesized research on climate change. The latest report stated that “Human influence on the climate system is clear, and recent anthropogenic [human caused] emissions of greenhouse gases are the highest in history. Recent climate changes have had widespread impacts on human and natural systems.”</w:t>
      </w:r>
      <w:r w:rsidR="00543E55">
        <w:rPr>
          <w:rStyle w:val="FootnoteReference"/>
          <w:lang w:val="en-GB"/>
        </w:rPr>
        <w:footnoteReference w:id="5"/>
      </w:r>
      <w:r w:rsidRPr="003C39CF">
        <w:rPr>
          <w:lang w:val="en-GB"/>
        </w:rPr>
        <w:t xml:space="preserve"> </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Scientists were in broad agreement that the average global temperature increase had to stay below 2</w:t>
      </w:r>
      <w:r>
        <w:rPr>
          <w:lang w:val="en-GB"/>
        </w:rPr>
        <w:t xml:space="preserve"> </w:t>
      </w:r>
      <w:bookmarkStart w:id="0" w:name="_Hlk522432197"/>
      <w:r>
        <w:rPr>
          <w:lang w:val="en-GB"/>
        </w:rPr>
        <w:t>degrees Celsius (</w:t>
      </w:r>
      <w:r w:rsidRPr="003C39CF">
        <w:rPr>
          <w:rFonts w:ascii="Arial" w:hAnsi="Arial" w:cs="Arial"/>
          <w:lang w:val="en-GB"/>
        </w:rPr>
        <w:t>°</w:t>
      </w:r>
      <w:r w:rsidRPr="003C39CF">
        <w:rPr>
          <w:lang w:val="en-GB"/>
        </w:rPr>
        <w:t>C</w:t>
      </w:r>
      <w:r>
        <w:rPr>
          <w:lang w:val="en-GB"/>
        </w:rPr>
        <w:t>)</w:t>
      </w:r>
      <w:bookmarkEnd w:id="0"/>
      <w:r w:rsidRPr="003C39CF">
        <w:rPr>
          <w:lang w:val="en-GB"/>
        </w:rPr>
        <w:t>, lest a series of positive feedback loops be activated</w:t>
      </w:r>
      <w:r w:rsidR="000D73F9">
        <w:rPr>
          <w:lang w:val="en-GB"/>
        </w:rPr>
        <w:t xml:space="preserve"> that would be uncontainable after such a climate change</w:t>
      </w:r>
      <w:r w:rsidRPr="003C39CF">
        <w:rPr>
          <w:lang w:val="en-GB"/>
        </w:rPr>
        <w:t>. Since 1880, average global temperatures had risen 0.8</w:t>
      </w:r>
      <w:r w:rsidRPr="003C39CF">
        <w:rPr>
          <w:rFonts w:ascii="Arial" w:hAnsi="Arial" w:cs="Arial"/>
          <w:lang w:val="en-GB"/>
        </w:rPr>
        <w:t>°</w:t>
      </w:r>
      <w:r w:rsidRPr="003C39CF">
        <w:rPr>
          <w:lang w:val="en-GB"/>
        </w:rPr>
        <w:t>C, an increase that was unprecedented in global history. To keep global warming to under 2</w:t>
      </w:r>
      <w:r w:rsidRPr="003C39CF">
        <w:rPr>
          <w:rFonts w:ascii="Arial" w:hAnsi="Arial" w:cs="Arial"/>
          <w:lang w:val="en-GB"/>
        </w:rPr>
        <w:t>°</w:t>
      </w:r>
      <w:r w:rsidRPr="003C39CF">
        <w:rPr>
          <w:lang w:val="en-GB"/>
        </w:rPr>
        <w:t>C, the earth must constrain its GHG emissions to 2.9 trillion tonnes of CO</w:t>
      </w:r>
      <w:r w:rsidRPr="003C39CF">
        <w:rPr>
          <w:vertAlign w:val="subscript"/>
          <w:lang w:val="en-GB"/>
        </w:rPr>
        <w:t>2</w:t>
      </w:r>
      <w:r w:rsidRPr="003C39CF">
        <w:rPr>
          <w:lang w:val="en-GB"/>
        </w:rPr>
        <w:t>e. Humans had collectively already used up 73 per cent of this “carbon budget” and on the current path would exceed this budget by 2036.</w:t>
      </w:r>
      <w:r w:rsidRPr="003C39CF">
        <w:rPr>
          <w:rStyle w:val="FootnoteReference"/>
          <w:lang w:val="en-GB"/>
        </w:rPr>
        <w:footnoteReference w:id="6"/>
      </w:r>
      <w:r w:rsidRPr="003C39CF">
        <w:rPr>
          <w:lang w:val="en-GB"/>
        </w:rPr>
        <w:t xml:space="preserve"> </w:t>
      </w:r>
    </w:p>
    <w:p w:rsidR="00F150FB" w:rsidRPr="003C39CF" w:rsidRDefault="00F150FB" w:rsidP="00F150FB">
      <w:pPr>
        <w:pStyle w:val="BodyTextMain"/>
        <w:rPr>
          <w:lang w:val="en-GB"/>
        </w:rPr>
      </w:pPr>
    </w:p>
    <w:p w:rsidR="00F150FB" w:rsidRPr="003C39CF" w:rsidRDefault="00F150FB" w:rsidP="00F150FB">
      <w:pPr>
        <w:pStyle w:val="BodyTextMain"/>
        <w:rPr>
          <w:lang w:val="en-GB"/>
        </w:rPr>
      </w:pPr>
    </w:p>
    <w:p w:rsidR="00F150FB" w:rsidRPr="003C39CF" w:rsidRDefault="00F150FB" w:rsidP="00F150FB">
      <w:pPr>
        <w:pStyle w:val="Casehead1"/>
        <w:rPr>
          <w:lang w:val="en-GB"/>
        </w:rPr>
      </w:pPr>
      <w:r w:rsidRPr="003C39CF">
        <w:rPr>
          <w:lang w:val="en-GB"/>
        </w:rPr>
        <w:t>Market</w:t>
      </w:r>
      <w:r>
        <w:rPr>
          <w:lang w:val="en-GB"/>
        </w:rPr>
        <w:t>-</w:t>
      </w:r>
      <w:r w:rsidRPr="003C39CF">
        <w:rPr>
          <w:lang w:val="en-GB"/>
        </w:rPr>
        <w:t>Based Solutions to Reducing Greenhouse Gas Emissions</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Responses to global climate change began to focus on tying financial instruments to emissions, thus placing a price on GHG emissions. These measures included two main systems—cap and trade and carbon taxes</w:t>
      </w:r>
      <w:r>
        <w:rPr>
          <w:lang w:val="en-GB"/>
        </w:rPr>
        <w:t>—</w:t>
      </w:r>
      <w:r w:rsidRPr="003C39CF">
        <w:rPr>
          <w:lang w:val="en-GB"/>
        </w:rPr>
        <w:t xml:space="preserve">which were described as follows: </w:t>
      </w:r>
    </w:p>
    <w:p w:rsidR="00F150FB" w:rsidRPr="003C39CF" w:rsidRDefault="00F150FB" w:rsidP="00F150FB">
      <w:pPr>
        <w:pStyle w:val="BodyTextMain"/>
        <w:rPr>
          <w:lang w:val="en-GB"/>
        </w:rPr>
      </w:pPr>
    </w:p>
    <w:p w:rsidR="00F150FB" w:rsidRPr="003C39CF" w:rsidRDefault="00F150FB" w:rsidP="00F150FB">
      <w:pPr>
        <w:pStyle w:val="BodyTextMain"/>
        <w:numPr>
          <w:ilvl w:val="0"/>
          <w:numId w:val="2"/>
        </w:numPr>
        <w:rPr>
          <w:lang w:val="en-GB"/>
        </w:rPr>
      </w:pPr>
      <w:r w:rsidRPr="003C39CF">
        <w:rPr>
          <w:lang w:val="en-GB"/>
        </w:rPr>
        <w:t>Cap and trade involved a government placing a capacity limit (or cap) on total carbon emissions and then giving, and/or selling, permits to firms that would sum up to that cap. Generally, a permit was equivalent to a tonne of CO</w:t>
      </w:r>
      <w:r w:rsidRPr="003C39CF">
        <w:rPr>
          <w:vertAlign w:val="subscript"/>
          <w:lang w:val="en-GB"/>
        </w:rPr>
        <w:t>2</w:t>
      </w:r>
      <w:r w:rsidRPr="003C39CF">
        <w:rPr>
          <w:lang w:val="en-GB"/>
        </w:rPr>
        <w:t>e. This cap was then reduced over time, which provided an incentive for firms to reduce their emissions. Therefore, the scheme relied on market logic to drive the emission reductions—the harder (i.e., lower) the cap, the greater the price of a permit. The scheme was also designed to leverage market mechanisms to achieve absolute reductions in CO</w:t>
      </w:r>
      <w:r w:rsidRPr="003C39CF">
        <w:rPr>
          <w:vertAlign w:val="subscript"/>
          <w:lang w:val="en-GB"/>
        </w:rPr>
        <w:t>2</w:t>
      </w:r>
      <w:r w:rsidRPr="003C39CF">
        <w:rPr>
          <w:lang w:val="en-GB"/>
        </w:rPr>
        <w:t>e emissions in the most efficient manner possible by allowing the sale of carbon permits. Companies that could most efficiently reduce their emissions could sell their excess permits to those that were less efficient. For example, if a firm had emissions permits for 100,000 tonnes of CO</w:t>
      </w:r>
      <w:r w:rsidRPr="003C39CF">
        <w:rPr>
          <w:vertAlign w:val="subscript"/>
          <w:lang w:val="en-GB"/>
        </w:rPr>
        <w:t>2</w:t>
      </w:r>
      <w:r w:rsidRPr="003C39CF">
        <w:rPr>
          <w:lang w:val="en-GB"/>
        </w:rPr>
        <w:t>e, and could reduce (or abate) emissions from its operations to 90,000 tonnes at a cost of $15 per tonne of CO</w:t>
      </w:r>
      <w:r w:rsidRPr="003C39CF">
        <w:rPr>
          <w:vertAlign w:val="subscript"/>
          <w:lang w:val="en-GB"/>
        </w:rPr>
        <w:t>2</w:t>
      </w:r>
      <w:r w:rsidRPr="003C39CF">
        <w:rPr>
          <w:lang w:val="en-GB"/>
        </w:rPr>
        <w:t>e, it could sell those remaining 10,000 emissions permits to another firm whose abatement costs were higher than $15 per tonne of CO</w:t>
      </w:r>
      <w:r w:rsidRPr="003C39CF">
        <w:rPr>
          <w:vertAlign w:val="subscript"/>
          <w:lang w:val="en-GB"/>
        </w:rPr>
        <w:t>2</w:t>
      </w:r>
      <w:r w:rsidRPr="003C39CF">
        <w:rPr>
          <w:lang w:val="en-GB"/>
        </w:rPr>
        <w:t>e.</w:t>
      </w:r>
    </w:p>
    <w:p w:rsidR="00F150FB" w:rsidRPr="003C39CF" w:rsidRDefault="00F150FB" w:rsidP="00F150FB">
      <w:pPr>
        <w:pStyle w:val="BodyTextMain"/>
        <w:numPr>
          <w:ilvl w:val="0"/>
          <w:numId w:val="2"/>
        </w:numPr>
        <w:rPr>
          <w:lang w:val="en-GB"/>
        </w:rPr>
      </w:pPr>
      <w:r w:rsidRPr="003C39CF">
        <w:rPr>
          <w:lang w:val="en-GB"/>
        </w:rPr>
        <w:lastRenderedPageBreak/>
        <w:t>Carbon tax was simply a fee on carbon use; the higher the tax, the greater the incentive to seek alternatives that abated emissions.</w:t>
      </w:r>
      <w:r>
        <w:rPr>
          <w:lang w:val="en-GB"/>
        </w:rPr>
        <w:t xml:space="preserve"> </w:t>
      </w:r>
    </w:p>
    <w:p w:rsidR="00865341" w:rsidRDefault="00865341" w:rsidP="00F150FB">
      <w:pPr>
        <w:pStyle w:val="BodyTextMain"/>
        <w:rPr>
          <w:lang w:val="en-GB"/>
        </w:rPr>
      </w:pPr>
    </w:p>
    <w:p w:rsidR="00F150FB" w:rsidRPr="003C39CF" w:rsidRDefault="00F150FB" w:rsidP="00F150FB">
      <w:pPr>
        <w:pStyle w:val="BodyTextMain"/>
        <w:rPr>
          <w:lang w:val="en-GB"/>
        </w:rPr>
      </w:pPr>
      <w:r w:rsidRPr="003C39CF">
        <w:rPr>
          <w:lang w:val="en-GB"/>
        </w:rPr>
        <w:t>Although both approaches generated government revenue and reduced overall emissions more efficiently than command</w:t>
      </w:r>
      <w:r>
        <w:rPr>
          <w:lang w:val="en-GB"/>
        </w:rPr>
        <w:t>-</w:t>
      </w:r>
      <w:r w:rsidRPr="003C39CF">
        <w:rPr>
          <w:lang w:val="en-GB"/>
        </w:rPr>
        <w:t>and</w:t>
      </w:r>
      <w:r>
        <w:rPr>
          <w:lang w:val="en-GB"/>
        </w:rPr>
        <w:t>-</w:t>
      </w:r>
      <w:r w:rsidRPr="003C39CF">
        <w:rPr>
          <w:lang w:val="en-GB"/>
        </w:rPr>
        <w:t>control regulations, they did differ in significant ways. A cap</w:t>
      </w:r>
      <w:r>
        <w:rPr>
          <w:lang w:val="en-GB"/>
        </w:rPr>
        <w:t>-</w:t>
      </w:r>
      <w:r w:rsidRPr="003C39CF">
        <w:rPr>
          <w:lang w:val="en-GB"/>
        </w:rPr>
        <w:t>and</w:t>
      </w:r>
      <w:r>
        <w:rPr>
          <w:lang w:val="en-GB"/>
        </w:rPr>
        <w:t>-</w:t>
      </w:r>
      <w:r w:rsidRPr="003C39CF">
        <w:rPr>
          <w:lang w:val="en-GB"/>
        </w:rPr>
        <w:t>trade system allowed for a more predictable emission reduction because the cap was set by the government, and it could be easily extended to link up with other national or subnational jurisdictions. In contrast, a carbon tax had the benefit of a stable price that was set by the government and required fewer bureaucratic mechanisms for set up and implementation. There was still considerable debate over which system was most effective. Most jurisdictions were coalescing around the cap</w:t>
      </w:r>
      <w:r>
        <w:rPr>
          <w:lang w:val="en-GB"/>
        </w:rPr>
        <w:t>-</w:t>
      </w:r>
      <w:r w:rsidRPr="003C39CF">
        <w:rPr>
          <w:lang w:val="en-GB"/>
        </w:rPr>
        <w:t>and</w:t>
      </w:r>
      <w:r>
        <w:rPr>
          <w:lang w:val="en-GB"/>
        </w:rPr>
        <w:t>-</w:t>
      </w:r>
      <w:r w:rsidRPr="003C39CF">
        <w:rPr>
          <w:lang w:val="en-GB"/>
        </w:rPr>
        <w:t>trade system—Ontario, Quebec, California, China, and the European Union all used it. On the other hand, Alberta and British Columbia used the carbon</w:t>
      </w:r>
      <w:r>
        <w:rPr>
          <w:lang w:val="en-GB"/>
        </w:rPr>
        <w:t>-</w:t>
      </w:r>
      <w:r w:rsidRPr="003C39CF">
        <w:rPr>
          <w:lang w:val="en-GB"/>
        </w:rPr>
        <w:t>tax alternative.</w:t>
      </w:r>
    </w:p>
    <w:p w:rsidR="00F150FB" w:rsidRPr="003C39CF" w:rsidRDefault="00F150FB" w:rsidP="00F150FB">
      <w:pPr>
        <w:pStyle w:val="BodyTextMain"/>
        <w:rPr>
          <w:lang w:val="en-GB"/>
        </w:rPr>
      </w:pPr>
    </w:p>
    <w:p w:rsidR="00F150FB" w:rsidRPr="003C39CF" w:rsidRDefault="00F150FB" w:rsidP="00F150FB">
      <w:pPr>
        <w:pStyle w:val="BodyTextMain"/>
        <w:rPr>
          <w:lang w:val="en-GB"/>
        </w:rPr>
      </w:pPr>
    </w:p>
    <w:p w:rsidR="00F150FB" w:rsidRPr="003C39CF" w:rsidRDefault="00F150FB" w:rsidP="00F150FB">
      <w:pPr>
        <w:pStyle w:val="Casehead2"/>
        <w:rPr>
          <w:i/>
          <w:lang w:val="en-GB"/>
        </w:rPr>
      </w:pPr>
      <w:r w:rsidRPr="003C39CF">
        <w:rPr>
          <w:lang w:val="en-GB"/>
        </w:rPr>
        <w:t xml:space="preserve">Putting the </w:t>
      </w:r>
      <w:r>
        <w:rPr>
          <w:lang w:val="en-GB"/>
        </w:rPr>
        <w:t>D</w:t>
      </w:r>
      <w:r w:rsidRPr="003C39CF">
        <w:rPr>
          <w:lang w:val="en-GB"/>
        </w:rPr>
        <w:t xml:space="preserve">ecision in the </w:t>
      </w:r>
      <w:r>
        <w:rPr>
          <w:lang w:val="en-GB"/>
        </w:rPr>
        <w:t>H</w:t>
      </w:r>
      <w:r w:rsidRPr="003C39CF">
        <w:rPr>
          <w:lang w:val="en-GB"/>
        </w:rPr>
        <w:t xml:space="preserve">ands of </w:t>
      </w:r>
      <w:r>
        <w:rPr>
          <w:lang w:val="en-GB"/>
        </w:rPr>
        <w:t>M</w:t>
      </w:r>
      <w:r w:rsidRPr="003C39CF">
        <w:rPr>
          <w:lang w:val="en-GB"/>
        </w:rPr>
        <w:t xml:space="preserve">anagers and the </w:t>
      </w:r>
      <w:r>
        <w:rPr>
          <w:lang w:val="en-GB"/>
        </w:rPr>
        <w:t>M</w:t>
      </w:r>
      <w:r w:rsidRPr="003C39CF">
        <w:rPr>
          <w:lang w:val="en-GB"/>
        </w:rPr>
        <w:t>arket</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The key for both systems was that the power to make meaningful reductions was placed in the hands of managers who were incentivized to drive down costs. There was no question that carbon pricing increased costs for firms, especially those in high</w:t>
      </w:r>
      <w:r>
        <w:rPr>
          <w:lang w:val="en-GB"/>
        </w:rPr>
        <w:t>-</w:t>
      </w:r>
      <w:r w:rsidRPr="003C39CF">
        <w:rPr>
          <w:lang w:val="en-GB"/>
        </w:rPr>
        <w:t xml:space="preserve">emitting sectors such as transportation and cement production. However, putting a price on carbon could also provide opportunities. For example, pricing carbon provided an extra incentive for transportation to look for efficiencies that allowed lower fuel consumption. These efficiencies would not only reduce their burden under a </w:t>
      </w:r>
      <w:bookmarkStart w:id="1" w:name="_Hlk522187396"/>
      <w:r w:rsidRPr="003C39CF">
        <w:rPr>
          <w:lang w:val="en-GB"/>
        </w:rPr>
        <w:t>carbon</w:t>
      </w:r>
      <w:r>
        <w:rPr>
          <w:lang w:val="en-GB"/>
        </w:rPr>
        <w:t>-</w:t>
      </w:r>
      <w:r w:rsidRPr="003C39CF">
        <w:rPr>
          <w:lang w:val="en-GB"/>
        </w:rPr>
        <w:t xml:space="preserve">pricing </w:t>
      </w:r>
      <w:bookmarkEnd w:id="1"/>
      <w:r w:rsidRPr="003C39CF">
        <w:rPr>
          <w:lang w:val="en-GB"/>
        </w:rPr>
        <w:t>regime but would also reduce their operational expenditure, creating a win-win situation. Emerging green technologies were key factors to favourable solutions</w:t>
      </w:r>
      <w:r>
        <w:rPr>
          <w:lang w:val="en-GB"/>
        </w:rPr>
        <w:t xml:space="preserve"> and </w:t>
      </w:r>
      <w:r w:rsidRPr="003C39CF">
        <w:rPr>
          <w:lang w:val="en-GB"/>
        </w:rPr>
        <w:t>help</w:t>
      </w:r>
      <w:r>
        <w:rPr>
          <w:lang w:val="en-GB"/>
        </w:rPr>
        <w:t>ed</w:t>
      </w:r>
      <w:r w:rsidRPr="003C39CF">
        <w:rPr>
          <w:lang w:val="en-GB"/>
        </w:rPr>
        <w:t xml:space="preserve"> to simply reduce the financial burden of a carbon</w:t>
      </w:r>
      <w:r>
        <w:rPr>
          <w:lang w:val="en-GB"/>
        </w:rPr>
        <w:t>-</w:t>
      </w:r>
      <w:r w:rsidRPr="003C39CF">
        <w:rPr>
          <w:lang w:val="en-GB"/>
        </w:rPr>
        <w:t>pricing scheme. Overall, managers were best positioned to identify the right set of options that balanced costs with emission reductions achieved. In fact, many investments could have a positive net present value under a carbon</w:t>
      </w:r>
      <w:r>
        <w:rPr>
          <w:lang w:val="en-GB"/>
        </w:rPr>
        <w:t>-</w:t>
      </w:r>
      <w:r w:rsidRPr="003C39CF">
        <w:rPr>
          <w:lang w:val="en-GB"/>
        </w:rPr>
        <w:t xml:space="preserve">pricing regime. </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The market mechanisms underpinning cap and trade, as well as carbon taxes, stood in contrast to centralized command</w:t>
      </w:r>
      <w:r>
        <w:rPr>
          <w:lang w:val="en-GB"/>
        </w:rPr>
        <w:t>-</w:t>
      </w:r>
      <w:r w:rsidRPr="003C39CF">
        <w:rPr>
          <w:lang w:val="en-GB"/>
        </w:rPr>
        <w:t>and</w:t>
      </w:r>
      <w:r>
        <w:rPr>
          <w:lang w:val="en-GB"/>
        </w:rPr>
        <w:t>-</w:t>
      </w:r>
      <w:r w:rsidRPr="003C39CF">
        <w:rPr>
          <w:lang w:val="en-GB"/>
        </w:rPr>
        <w:t>control approaches. Under a command</w:t>
      </w:r>
      <w:r>
        <w:rPr>
          <w:lang w:val="en-GB"/>
        </w:rPr>
        <w:t>-</w:t>
      </w:r>
      <w:r w:rsidRPr="003C39CF">
        <w:rPr>
          <w:lang w:val="en-GB"/>
        </w:rPr>
        <w:t>and</w:t>
      </w:r>
      <w:r>
        <w:rPr>
          <w:lang w:val="en-GB"/>
        </w:rPr>
        <w:t>-</w:t>
      </w:r>
      <w:r w:rsidRPr="003C39CF">
        <w:rPr>
          <w:lang w:val="en-GB"/>
        </w:rPr>
        <w:t xml:space="preserve">control approach, the government specifically regulated technological aspects for particular industries. Though this </w:t>
      </w:r>
      <w:r>
        <w:rPr>
          <w:lang w:val="en-GB"/>
        </w:rPr>
        <w:t>was</w:t>
      </w:r>
      <w:r w:rsidRPr="003C39CF">
        <w:rPr>
          <w:lang w:val="en-GB"/>
        </w:rPr>
        <w:t xml:space="preserve"> appropriate in some situations, such as the regulation of safety requirements, it was generally considered inappropriate for combatting climate change, given the complexity of the issue. </w:t>
      </w:r>
    </w:p>
    <w:p w:rsidR="00F150FB" w:rsidRPr="003C39CF" w:rsidRDefault="00F150FB" w:rsidP="00F150FB">
      <w:pPr>
        <w:pStyle w:val="BodyTextMain"/>
        <w:rPr>
          <w:lang w:val="en-GB"/>
        </w:rPr>
      </w:pPr>
    </w:p>
    <w:p w:rsidR="00F150FB" w:rsidRPr="003C39CF" w:rsidRDefault="00F150FB" w:rsidP="00F150FB">
      <w:pPr>
        <w:pStyle w:val="BodyTextMain"/>
        <w:rPr>
          <w:lang w:val="en-GB"/>
        </w:rPr>
      </w:pPr>
    </w:p>
    <w:p w:rsidR="00F150FB" w:rsidRPr="003C39CF" w:rsidRDefault="00F150FB" w:rsidP="00F150FB">
      <w:pPr>
        <w:pStyle w:val="Casehead2"/>
        <w:rPr>
          <w:i/>
          <w:lang w:val="en-GB"/>
        </w:rPr>
      </w:pPr>
      <w:r w:rsidRPr="003C39CF">
        <w:rPr>
          <w:lang w:val="en-GB"/>
        </w:rPr>
        <w:t>Marginal</w:t>
      </w:r>
      <w:r>
        <w:rPr>
          <w:lang w:val="en-GB"/>
        </w:rPr>
        <w:t>-A</w:t>
      </w:r>
      <w:r w:rsidRPr="003C39CF">
        <w:rPr>
          <w:lang w:val="en-GB"/>
        </w:rPr>
        <w:t xml:space="preserve">batement </w:t>
      </w:r>
      <w:r>
        <w:rPr>
          <w:lang w:val="en-GB"/>
        </w:rPr>
        <w:t>C</w:t>
      </w:r>
      <w:r w:rsidRPr="003C39CF">
        <w:rPr>
          <w:lang w:val="en-GB"/>
        </w:rPr>
        <w:t>ost</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Managers and policy</w:t>
      </w:r>
      <w:r>
        <w:rPr>
          <w:lang w:val="en-GB"/>
        </w:rPr>
        <w:t>-</w:t>
      </w:r>
      <w:r w:rsidRPr="003C39CF">
        <w:rPr>
          <w:lang w:val="en-GB"/>
        </w:rPr>
        <w:t>makers alike looked to marginal</w:t>
      </w:r>
      <w:r>
        <w:rPr>
          <w:lang w:val="en-GB"/>
        </w:rPr>
        <w:t>-</w:t>
      </w:r>
      <w:r w:rsidRPr="003C39CF">
        <w:rPr>
          <w:lang w:val="en-GB"/>
        </w:rPr>
        <w:t>abatement cost estimates to identify the most cost-effective options. Such analyses were conducted at sectoral and economy-wide levels to highlight where efforts should be dedicated in response to a carbon</w:t>
      </w:r>
      <w:r>
        <w:rPr>
          <w:lang w:val="en-GB"/>
        </w:rPr>
        <w:t>-</w:t>
      </w:r>
      <w:r w:rsidRPr="003C39CF">
        <w:rPr>
          <w:lang w:val="en-GB"/>
        </w:rPr>
        <w:t>pricing scheme. For example, in the cement</w:t>
      </w:r>
      <w:r>
        <w:rPr>
          <w:lang w:val="en-GB"/>
        </w:rPr>
        <w:t>-</w:t>
      </w:r>
      <w:r w:rsidRPr="003C39CF">
        <w:rPr>
          <w:lang w:val="en-GB"/>
        </w:rPr>
        <w:t>production sector, limestone substitution was considered a low-cost modification (see Exhibit 3). Various technological or process modifications could be compared by weighing the cost per tonne of CO</w:t>
      </w:r>
      <w:r w:rsidRPr="003C39CF">
        <w:rPr>
          <w:vertAlign w:val="subscript"/>
          <w:lang w:val="en-GB"/>
        </w:rPr>
        <w:t>2</w:t>
      </w:r>
      <w:r w:rsidRPr="003C39CF">
        <w:rPr>
          <w:lang w:val="en-GB"/>
        </w:rPr>
        <w:t xml:space="preserve">e of abatement from that modification (i.e., the marginal cost) against the potential </w:t>
      </w:r>
      <w:proofErr w:type="spellStart"/>
      <w:r w:rsidRPr="003C39CF">
        <w:rPr>
          <w:lang w:val="en-GB"/>
        </w:rPr>
        <w:t>megatonnes</w:t>
      </w:r>
      <w:proofErr w:type="spellEnd"/>
      <w:r w:rsidRPr="003C39CF">
        <w:rPr>
          <w:lang w:val="en-GB"/>
        </w:rPr>
        <w:t xml:space="preserve"> (Mt) of abatement potential that the technology could provide on an annual basis in the industry. In the cement</w:t>
      </w:r>
      <w:r>
        <w:rPr>
          <w:lang w:val="en-GB"/>
        </w:rPr>
        <w:t>-</w:t>
      </w:r>
      <w:r w:rsidRPr="003C39CF">
        <w:rPr>
          <w:lang w:val="en-GB"/>
        </w:rPr>
        <w:t>production example, the lowest</w:t>
      </w:r>
      <w:r>
        <w:rPr>
          <w:lang w:val="en-GB"/>
        </w:rPr>
        <w:t>-</w:t>
      </w:r>
      <w:r w:rsidRPr="003C39CF">
        <w:rPr>
          <w:lang w:val="en-GB"/>
        </w:rPr>
        <w:t xml:space="preserve">cost choice of a “clinker substitution by limestone” had a significantly negative cost, so adopting this modification would offer both a positive financial return (i.e., a positive net </w:t>
      </w:r>
      <w:proofErr w:type="spellStart"/>
      <w:r w:rsidRPr="003C39CF">
        <w:rPr>
          <w:lang w:val="en-GB"/>
        </w:rPr>
        <w:t>preset</w:t>
      </w:r>
      <w:proofErr w:type="spellEnd"/>
      <w:r w:rsidRPr="003C39CF">
        <w:rPr>
          <w:lang w:val="en-GB"/>
        </w:rPr>
        <w:t xml:space="preserve"> value) and provide a substantial abatement benefit. On the other hand, process optimization could offer significant abatement reductions, but at a significant cost to the firm. Managers generally adopted </w:t>
      </w:r>
      <w:r w:rsidRPr="003C39CF">
        <w:rPr>
          <w:lang w:val="en-GB"/>
        </w:rPr>
        <w:lastRenderedPageBreak/>
        <w:t>the negative</w:t>
      </w:r>
      <w:r w:rsidR="000D73F9">
        <w:rPr>
          <w:lang w:val="en-GB"/>
        </w:rPr>
        <w:t>-</w:t>
      </w:r>
      <w:r w:rsidRPr="003C39CF">
        <w:rPr>
          <w:lang w:val="en-GB"/>
        </w:rPr>
        <w:t xml:space="preserve">value options on their own. However, government inducement through the pricing of carbon provided further motivation. </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 xml:space="preserve">Looking globally across all industries, substantial reductions in GHG emissions could be accomplished with a positive return, with just over 10 </w:t>
      </w:r>
      <w:proofErr w:type="spellStart"/>
      <w:r w:rsidRPr="003C39CF">
        <w:rPr>
          <w:lang w:val="en-GB"/>
        </w:rPr>
        <w:t>gigatonnes</w:t>
      </w:r>
      <w:proofErr w:type="spellEnd"/>
      <w:r w:rsidRPr="003C39CF">
        <w:rPr>
          <w:lang w:val="en-GB"/>
        </w:rPr>
        <w:t xml:space="preserve"> of CO</w:t>
      </w:r>
      <w:r w:rsidRPr="003C39CF">
        <w:rPr>
          <w:vertAlign w:val="subscript"/>
          <w:lang w:val="en-GB"/>
        </w:rPr>
        <w:t>2</w:t>
      </w:r>
      <w:r w:rsidRPr="003C39CF">
        <w:rPr>
          <w:lang w:val="en-GB"/>
        </w:rPr>
        <w:t>e abated with a positive economic gain (see Exhibit 4). There were, however, limitations to these win-win situations, and considerable investment was required to significantly lower emissions beyond that level. Importantly, these more costly investments would be required to meet the 2</w:t>
      </w:r>
      <w:r w:rsidRPr="003C39CF">
        <w:rPr>
          <w:rFonts w:ascii="Arial" w:hAnsi="Arial" w:cs="Arial"/>
          <w:lang w:val="en-GB"/>
        </w:rPr>
        <w:t>°</w:t>
      </w:r>
      <w:r w:rsidRPr="003C39CF">
        <w:rPr>
          <w:lang w:val="en-GB"/>
        </w:rPr>
        <w:t>C target.</w:t>
      </w:r>
    </w:p>
    <w:p w:rsidR="00F150FB" w:rsidRPr="003C39CF" w:rsidRDefault="00F150FB" w:rsidP="00F150FB">
      <w:pPr>
        <w:pStyle w:val="BodyTextMain"/>
        <w:rPr>
          <w:lang w:val="en-GB"/>
        </w:rPr>
      </w:pPr>
    </w:p>
    <w:p w:rsidR="00F150FB" w:rsidRPr="00F150FB" w:rsidRDefault="00F150FB" w:rsidP="00F150FB">
      <w:pPr>
        <w:pStyle w:val="BodyTextMain"/>
      </w:pPr>
    </w:p>
    <w:p w:rsidR="00F150FB" w:rsidRPr="003C39CF" w:rsidRDefault="00F150FB" w:rsidP="00F150FB">
      <w:pPr>
        <w:pStyle w:val="Casehead1"/>
        <w:rPr>
          <w:lang w:val="en-GB"/>
        </w:rPr>
      </w:pPr>
      <w:r w:rsidRPr="003C39CF">
        <w:rPr>
          <w:lang w:val="en-GB"/>
        </w:rPr>
        <w:t>Ontario’s Cap</w:t>
      </w:r>
      <w:r>
        <w:rPr>
          <w:lang w:val="en-GB"/>
        </w:rPr>
        <w:t>-</w:t>
      </w:r>
      <w:r w:rsidRPr="003C39CF">
        <w:rPr>
          <w:lang w:val="en-GB"/>
        </w:rPr>
        <w:t>and</w:t>
      </w:r>
      <w:r>
        <w:rPr>
          <w:lang w:val="en-GB"/>
        </w:rPr>
        <w:t>-</w:t>
      </w:r>
      <w:r w:rsidRPr="003C39CF">
        <w:rPr>
          <w:lang w:val="en-GB"/>
        </w:rPr>
        <w:t>Trade System</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Ontario’s cap</w:t>
      </w:r>
      <w:r>
        <w:rPr>
          <w:lang w:val="en-GB"/>
        </w:rPr>
        <w:t>-</w:t>
      </w:r>
      <w:r w:rsidRPr="003C39CF">
        <w:rPr>
          <w:lang w:val="en-GB"/>
        </w:rPr>
        <w:t>and</w:t>
      </w:r>
      <w:r>
        <w:rPr>
          <w:lang w:val="en-GB"/>
        </w:rPr>
        <w:t>-</w:t>
      </w:r>
      <w:r w:rsidRPr="003C39CF">
        <w:rPr>
          <w:lang w:val="en-GB"/>
        </w:rPr>
        <w:t>trade system was administered by the Ministry of the Environment and Climate Change. Its primary objective was fighting climate change and rewarding firms that reduced their GHG emissions. The initial cap was set at 142 Mt of CO</w:t>
      </w:r>
      <w:r w:rsidRPr="003C39CF">
        <w:rPr>
          <w:vertAlign w:val="subscript"/>
          <w:lang w:val="en-GB"/>
        </w:rPr>
        <w:t>2</w:t>
      </w:r>
      <w:r w:rsidRPr="003C39CF">
        <w:rPr>
          <w:lang w:val="en-GB"/>
        </w:rPr>
        <w:t>e for 2017 and would be reduced to 136 Mt in 2018, 131 Mt in 2019, and 125 Mt by 2020. This reduction to the cap would allow the province to meet its emissions target of 15 per cent below 1990 levels by 2020.</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The scheme targeted the province’s largest emitters, which included about 150 organizations representing 82 per cent of Ontario’s emissions. These organizations would receive some allowances for free prior to the launch of the scheme, though generally not enough to cover all of their emissions. This therefore meant that most firms would have to acquire additional emissions allowances in order to have one allowance for each tonne of CO</w:t>
      </w:r>
      <w:r w:rsidRPr="003C39CF">
        <w:rPr>
          <w:vertAlign w:val="subscript"/>
          <w:lang w:val="en-GB"/>
        </w:rPr>
        <w:t>2</w:t>
      </w:r>
      <w:r w:rsidRPr="003C39CF">
        <w:rPr>
          <w:lang w:val="en-GB"/>
        </w:rPr>
        <w:t>e they emitted. These additional allowances would be available for purchase at quarterly auctions, or they could be bought or sold from other companies on a secondary market. Trading among firms would be enabled when some firms invested in green technologies that allowed them to abate their emissions beyond the levels required, leaving them with excess allowances. Firms with fewer or more costly abatement options could then buy these excess permits to meet their annual obligation. This practice could provide an additional revenue stream to those firms that had made the green</w:t>
      </w:r>
      <w:r>
        <w:rPr>
          <w:lang w:val="en-GB"/>
        </w:rPr>
        <w:t>-</w:t>
      </w:r>
      <w:r w:rsidRPr="003C39CF">
        <w:rPr>
          <w:lang w:val="en-GB"/>
        </w:rPr>
        <w:t>technology investment. As the cap declined, however, fewer allowances would be available, and firms would be further challenged to meet their obligations. This placed greater pressure on firms to make their own emissions</w:t>
      </w:r>
      <w:r>
        <w:rPr>
          <w:lang w:val="en-GB"/>
        </w:rPr>
        <w:t>-</w:t>
      </w:r>
      <w:r w:rsidRPr="003C39CF">
        <w:rPr>
          <w:lang w:val="en-GB"/>
        </w:rPr>
        <w:t>abatement investments.</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Because of the experiences in other jurisdictions, such as the European Union, the Ontario government instituted features to ensure a meaningful price of carbon and a robust marketplace for the allowances. It was anticipated that there would be a price floor for the auctions set at $18 per tonne</w:t>
      </w:r>
      <w:r>
        <w:rPr>
          <w:lang w:val="en-GB"/>
        </w:rPr>
        <w:t>.</w:t>
      </w:r>
      <w:r w:rsidRPr="003C39CF">
        <w:rPr>
          <w:lang w:val="en-GB"/>
        </w:rPr>
        <w:t xml:space="preserve"> This would provide stability to the emissions</w:t>
      </w:r>
      <w:r>
        <w:rPr>
          <w:lang w:val="en-GB"/>
        </w:rPr>
        <w:t>-</w:t>
      </w:r>
      <w:r w:rsidRPr="003C39CF">
        <w:rPr>
          <w:lang w:val="en-GB"/>
        </w:rPr>
        <w:t>trading system and ensure that the program maintained an incentive for emissions reductions. There would also be a price ceiling, where 5 per cent of allowances would be set aside for firms to purchase at year</w:t>
      </w:r>
      <w:r>
        <w:rPr>
          <w:lang w:val="en-GB"/>
        </w:rPr>
        <w:t>-</w:t>
      </w:r>
      <w:r w:rsidRPr="003C39CF">
        <w:rPr>
          <w:lang w:val="en-GB"/>
        </w:rPr>
        <w:t>end to make up for any shortfalls. Essentially, a price ceiling acted as a penalty or a tax for firms that did not abate effectively and had not adequately participated in allowance trading. The price ceiling would be expected to be two to three times the price floor. By setting a price ceiling, uncertainty was reduced</w:t>
      </w:r>
      <w:r>
        <w:rPr>
          <w:lang w:val="en-GB"/>
        </w:rPr>
        <w:t>,</w:t>
      </w:r>
      <w:r w:rsidRPr="003C39CF">
        <w:rPr>
          <w:lang w:val="en-GB"/>
        </w:rPr>
        <w:t xml:space="preserve"> and firms could at least have an upper bound to the cost of their carbon exposure. Ontario had also committed to link up with the cap</w:t>
      </w:r>
      <w:r>
        <w:rPr>
          <w:lang w:val="en-GB"/>
        </w:rPr>
        <w:t>-</w:t>
      </w:r>
      <w:r w:rsidRPr="003C39CF">
        <w:rPr>
          <w:lang w:val="en-GB"/>
        </w:rPr>
        <w:t>and</w:t>
      </w:r>
      <w:r>
        <w:rPr>
          <w:lang w:val="en-GB"/>
        </w:rPr>
        <w:t>-</w:t>
      </w:r>
      <w:r w:rsidRPr="003C39CF">
        <w:rPr>
          <w:lang w:val="en-GB"/>
        </w:rPr>
        <w:t>trade systems in California and Quebec in 2018, to provide for a more robust trading system. The price of carbon was about $16 per tonne in California and $19 per tonne in Quebec.</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t>The carbon</w:t>
      </w:r>
      <w:r>
        <w:rPr>
          <w:lang w:val="en-GB"/>
        </w:rPr>
        <w:t>-</w:t>
      </w:r>
      <w:r w:rsidRPr="003C39CF">
        <w:rPr>
          <w:lang w:val="en-GB"/>
        </w:rPr>
        <w:t>pricing scheme would generate about $1.9 billion per year in proceeds to the Ontario government. The province was obligated by law to invest these funds into projects that reduced GHG pollution, including public transit, electric vehicle incentives, and social housing retrofits. In addition, $325 million had already been committed to the Green Investment Fund</w:t>
      </w:r>
      <w:r w:rsidR="000D73F9">
        <w:rPr>
          <w:lang w:val="en-GB"/>
        </w:rPr>
        <w:t>, which w</w:t>
      </w:r>
      <w:r w:rsidRPr="003C39CF">
        <w:rPr>
          <w:lang w:val="en-GB"/>
        </w:rPr>
        <w:t>ould support a clean</w:t>
      </w:r>
      <w:r>
        <w:rPr>
          <w:lang w:val="en-GB"/>
        </w:rPr>
        <w:t>-</w:t>
      </w:r>
      <w:r w:rsidRPr="003C39CF">
        <w:rPr>
          <w:lang w:val="en-GB"/>
        </w:rPr>
        <w:lastRenderedPageBreak/>
        <w:t>technology</w:t>
      </w:r>
      <w:r>
        <w:rPr>
          <w:lang w:val="en-GB"/>
        </w:rPr>
        <w:t>-</w:t>
      </w:r>
      <w:r w:rsidRPr="003C39CF">
        <w:rPr>
          <w:lang w:val="en-GB"/>
        </w:rPr>
        <w:t>innovation fund</w:t>
      </w:r>
      <w:r w:rsidR="000D73F9">
        <w:rPr>
          <w:lang w:val="en-GB"/>
        </w:rPr>
        <w:t xml:space="preserve"> and </w:t>
      </w:r>
      <w:r w:rsidRPr="003C39CF">
        <w:rPr>
          <w:lang w:val="en-GB"/>
        </w:rPr>
        <w:t>energy transitions at First Nations communities,</w:t>
      </w:r>
      <w:r w:rsidR="000D73F9">
        <w:rPr>
          <w:lang w:val="en-GB"/>
        </w:rPr>
        <w:t xml:space="preserve"> as well as</w:t>
      </w:r>
      <w:r w:rsidRPr="003C39CF">
        <w:rPr>
          <w:lang w:val="en-GB"/>
        </w:rPr>
        <w:t xml:space="preserve"> install 500 electric</w:t>
      </w:r>
      <w:r>
        <w:rPr>
          <w:lang w:val="en-GB"/>
        </w:rPr>
        <w:t>-</w:t>
      </w:r>
      <w:r w:rsidRPr="003C39CF">
        <w:rPr>
          <w:lang w:val="en-GB"/>
        </w:rPr>
        <w:t xml:space="preserve">vehicle charging stations, among various other activities across the province. </w:t>
      </w:r>
    </w:p>
    <w:p w:rsidR="00F150FB" w:rsidRPr="003C39CF" w:rsidRDefault="00F150FB" w:rsidP="00F150FB">
      <w:pPr>
        <w:pStyle w:val="BodyTextMain"/>
        <w:rPr>
          <w:lang w:val="en-GB"/>
        </w:rPr>
      </w:pPr>
    </w:p>
    <w:p w:rsidR="00F150FB" w:rsidRDefault="00F150FB" w:rsidP="00F150FB">
      <w:pPr>
        <w:pStyle w:val="BodyTextMain"/>
        <w:rPr>
          <w:lang w:val="en-GB"/>
        </w:rPr>
      </w:pPr>
    </w:p>
    <w:p w:rsidR="00F150FB" w:rsidRPr="003C39CF" w:rsidRDefault="00F150FB" w:rsidP="00F150FB">
      <w:pPr>
        <w:pStyle w:val="Casehead1"/>
        <w:rPr>
          <w:lang w:val="en-GB"/>
        </w:rPr>
      </w:pPr>
      <w:r w:rsidRPr="003C39CF">
        <w:rPr>
          <w:lang w:val="en-GB"/>
        </w:rPr>
        <w:t>Some Participants in Ontario’s Cap</w:t>
      </w:r>
      <w:r>
        <w:rPr>
          <w:lang w:val="en-GB"/>
        </w:rPr>
        <w:t>-</w:t>
      </w:r>
      <w:r w:rsidRPr="003C39CF">
        <w:rPr>
          <w:lang w:val="en-GB"/>
        </w:rPr>
        <w:t>and</w:t>
      </w:r>
      <w:r>
        <w:rPr>
          <w:lang w:val="en-GB"/>
        </w:rPr>
        <w:t>-</w:t>
      </w:r>
      <w:r w:rsidRPr="003C39CF">
        <w:rPr>
          <w:lang w:val="en-GB"/>
        </w:rPr>
        <w:t>Trade system</w:t>
      </w:r>
    </w:p>
    <w:p w:rsidR="00F150FB" w:rsidRPr="003C39CF" w:rsidRDefault="00F150FB" w:rsidP="00F150FB">
      <w:pPr>
        <w:pStyle w:val="BodyTextMain"/>
        <w:rPr>
          <w:lang w:val="en-GB"/>
        </w:rPr>
      </w:pPr>
    </w:p>
    <w:p w:rsidR="00F150FB" w:rsidRDefault="00F150FB" w:rsidP="00F150FB">
      <w:pPr>
        <w:pStyle w:val="BodyTextMain"/>
        <w:rPr>
          <w:lang w:val="en-GB"/>
        </w:rPr>
      </w:pPr>
      <w:r w:rsidRPr="003C39CF">
        <w:rPr>
          <w:lang w:val="en-GB"/>
        </w:rPr>
        <w:t>Ontario’s cap</w:t>
      </w:r>
      <w:r>
        <w:rPr>
          <w:lang w:val="en-GB"/>
        </w:rPr>
        <w:t>-</w:t>
      </w:r>
      <w:r w:rsidRPr="003C39CF">
        <w:rPr>
          <w:lang w:val="en-GB"/>
        </w:rPr>
        <w:t>and</w:t>
      </w:r>
      <w:r>
        <w:rPr>
          <w:lang w:val="en-GB"/>
        </w:rPr>
        <w:t>-</w:t>
      </w:r>
      <w:r w:rsidRPr="003C39CF">
        <w:rPr>
          <w:lang w:val="en-GB"/>
        </w:rPr>
        <w:t>trade system was expected to consist of approximately 150 organizations operating across a variety of industries, with different marginal</w:t>
      </w:r>
      <w:r>
        <w:rPr>
          <w:lang w:val="en-GB"/>
        </w:rPr>
        <w:t>-</w:t>
      </w:r>
      <w:r w:rsidRPr="003C39CF">
        <w:rPr>
          <w:lang w:val="en-GB"/>
        </w:rPr>
        <w:t>abatement</w:t>
      </w:r>
      <w:r>
        <w:rPr>
          <w:lang w:val="en-GB"/>
        </w:rPr>
        <w:t>-</w:t>
      </w:r>
      <w:r w:rsidRPr="003C39CF">
        <w:rPr>
          <w:lang w:val="en-GB"/>
        </w:rPr>
        <w:t xml:space="preserve">cost curves and levels of emissions. Four specific firms demonstrated the broad cross-section at play in Ontario: </w:t>
      </w:r>
      <w:proofErr w:type="spellStart"/>
      <w:r w:rsidRPr="003C39CF">
        <w:rPr>
          <w:lang w:val="en-GB"/>
        </w:rPr>
        <w:t>TransAlta</w:t>
      </w:r>
      <w:proofErr w:type="spellEnd"/>
      <w:r>
        <w:rPr>
          <w:lang w:val="en-GB"/>
        </w:rPr>
        <w:t xml:space="preserve"> Corporation (</w:t>
      </w:r>
      <w:proofErr w:type="spellStart"/>
      <w:r>
        <w:rPr>
          <w:lang w:val="en-GB"/>
        </w:rPr>
        <w:t>TransAlta</w:t>
      </w:r>
      <w:proofErr w:type="spellEnd"/>
      <w:r>
        <w:rPr>
          <w:lang w:val="en-GB"/>
        </w:rPr>
        <w:t>)</w:t>
      </w:r>
      <w:r w:rsidRPr="003C39CF">
        <w:rPr>
          <w:lang w:val="en-GB"/>
        </w:rPr>
        <w:t>, Lafarge, General Motors</w:t>
      </w:r>
      <w:r>
        <w:rPr>
          <w:lang w:val="en-GB"/>
        </w:rPr>
        <w:t xml:space="preserve"> Company (GM)</w:t>
      </w:r>
      <w:r w:rsidRPr="003C39CF">
        <w:rPr>
          <w:lang w:val="en-GB"/>
        </w:rPr>
        <w:t>, and Campbell Soup Company</w:t>
      </w:r>
      <w:r>
        <w:rPr>
          <w:lang w:val="en-GB"/>
        </w:rPr>
        <w:t xml:space="preserve"> (Campbell’s)</w:t>
      </w:r>
      <w:r w:rsidRPr="003C39CF">
        <w:rPr>
          <w:lang w:val="en-GB"/>
        </w:rPr>
        <w:t xml:space="preserve"> (see Exhibit 5). </w:t>
      </w:r>
      <w:proofErr w:type="spellStart"/>
      <w:r w:rsidRPr="003C39CF">
        <w:rPr>
          <w:lang w:val="en-GB"/>
        </w:rPr>
        <w:t>TransAlta</w:t>
      </w:r>
      <w:proofErr w:type="spellEnd"/>
      <w:r w:rsidRPr="003C39CF">
        <w:rPr>
          <w:lang w:val="en-GB"/>
        </w:rPr>
        <w:t xml:space="preserve"> generated electricity and heat from a variety of fuel sources, including the fossil fuels that created its substantial carbon footprint. Lafarge had a global presence in the cement industry and provided key inputs into Canada’s economy. Cement was very energy intensive to produce and thus created the exhibited carbon footprint. GM, a large multinational car manufacturer, produced significant emissions in its Oshawa operations. However, this was only a fraction of the total emissions related to the manufacturing of cars. In particular, steel manufacturing was very carbon intensive, but under Ontario’s cap</w:t>
      </w:r>
      <w:r>
        <w:rPr>
          <w:lang w:val="en-GB"/>
        </w:rPr>
        <w:t>-</w:t>
      </w:r>
      <w:r w:rsidRPr="003C39CF">
        <w:rPr>
          <w:lang w:val="en-GB"/>
        </w:rPr>
        <w:t>and</w:t>
      </w:r>
      <w:r>
        <w:rPr>
          <w:lang w:val="en-GB"/>
        </w:rPr>
        <w:t>-</w:t>
      </w:r>
      <w:r w:rsidRPr="003C39CF">
        <w:rPr>
          <w:lang w:val="en-GB"/>
        </w:rPr>
        <w:t xml:space="preserve">trade system, </w:t>
      </w:r>
      <w:r>
        <w:rPr>
          <w:lang w:val="en-GB"/>
        </w:rPr>
        <w:t>GM</w:t>
      </w:r>
      <w:r w:rsidRPr="003C39CF">
        <w:rPr>
          <w:lang w:val="en-GB"/>
        </w:rPr>
        <w:t xml:space="preserve"> was only responsible for its </w:t>
      </w:r>
      <w:r w:rsidRPr="003C39CF">
        <w:rPr>
          <w:i/>
          <w:lang w:val="en-GB"/>
        </w:rPr>
        <w:t>direct</w:t>
      </w:r>
      <w:r w:rsidRPr="003C39CF">
        <w:rPr>
          <w:lang w:val="en-GB"/>
        </w:rPr>
        <w:t xml:space="preserve"> emissions (e.g., those from its plant). The company was not responsible for the emissions associated with other inputs, such as steel. Finally, Campbell</w:t>
      </w:r>
      <w:r>
        <w:rPr>
          <w:lang w:val="en-GB"/>
        </w:rPr>
        <w:t xml:space="preserve">’s </w:t>
      </w:r>
      <w:r w:rsidRPr="003C39CF">
        <w:rPr>
          <w:lang w:val="en-GB"/>
        </w:rPr>
        <w:t xml:space="preserve">had a relatively small carbon footprint, given that its Toronto plant was focused on soup production. In the initial years of the scheme, each firm would be provided with some permits by the government for free. However, </w:t>
      </w:r>
      <w:r>
        <w:rPr>
          <w:lang w:val="en-GB"/>
        </w:rPr>
        <w:t>as per</w:t>
      </w:r>
      <w:r w:rsidRPr="003C39CF">
        <w:rPr>
          <w:lang w:val="en-GB"/>
        </w:rPr>
        <w:t xml:space="preserve"> the targeted reductions to carbon emissions</w:t>
      </w:r>
      <w:r>
        <w:rPr>
          <w:lang w:val="en-GB"/>
        </w:rPr>
        <w:t xml:space="preserve">, </w:t>
      </w:r>
      <w:r w:rsidRPr="003C39CF">
        <w:rPr>
          <w:lang w:val="en-GB"/>
        </w:rPr>
        <w:t xml:space="preserve">the permits would be reduced in later years for these four firms and all firms participating in the program. </w:t>
      </w:r>
    </w:p>
    <w:p w:rsidR="00F150FB" w:rsidRPr="003C39CF" w:rsidRDefault="00F150FB" w:rsidP="00F150FB">
      <w:pPr>
        <w:pStyle w:val="BodyTextMain"/>
        <w:rPr>
          <w:lang w:val="en-GB"/>
        </w:rPr>
      </w:pPr>
    </w:p>
    <w:p w:rsidR="00F150FB" w:rsidRPr="003C39CF" w:rsidRDefault="00F150FB" w:rsidP="00F150FB">
      <w:pPr>
        <w:pStyle w:val="BodyTextMain"/>
        <w:rPr>
          <w:lang w:val="en-GB"/>
        </w:rPr>
      </w:pPr>
      <w:r w:rsidRPr="003C39CF">
        <w:rPr>
          <w:lang w:val="en-GB"/>
        </w:rPr>
        <w:br w:type="page"/>
      </w:r>
    </w:p>
    <w:p w:rsidR="00F150FB" w:rsidRPr="003C39CF" w:rsidRDefault="00F150FB" w:rsidP="00F150FB">
      <w:pPr>
        <w:pStyle w:val="Casehead1"/>
        <w:jc w:val="center"/>
        <w:rPr>
          <w:lang w:val="en-GB"/>
        </w:rPr>
      </w:pPr>
      <w:r w:rsidRPr="003C39CF">
        <w:rPr>
          <w:lang w:val="en-GB"/>
        </w:rPr>
        <w:lastRenderedPageBreak/>
        <w:t>Exhibit 1:</w:t>
      </w:r>
      <w:r>
        <w:rPr>
          <w:lang w:val="en-GB"/>
        </w:rPr>
        <w:t xml:space="preserve"> </w:t>
      </w:r>
      <w:r w:rsidRPr="003C39CF">
        <w:rPr>
          <w:lang w:val="en-GB"/>
        </w:rPr>
        <w:t>PER CAPITA EMISSIONS AROUND THE WORLD (2014)</w:t>
      </w:r>
    </w:p>
    <w:p w:rsidR="00F150FB" w:rsidRPr="000A1EF7" w:rsidRDefault="00F150FB" w:rsidP="00F150FB">
      <w:pPr>
        <w:pStyle w:val="BodyTextMain"/>
        <w:rPr>
          <w:sz w:val="16"/>
          <w:szCs w:val="16"/>
          <w:lang w:val="en-GB"/>
        </w:rPr>
      </w:pPr>
    </w:p>
    <w:p w:rsidR="00F150FB" w:rsidRPr="00F150FB" w:rsidRDefault="00F150FB" w:rsidP="00F150FB">
      <w:pPr>
        <w:rPr>
          <w:rStyle w:val="BodyTextMainChar"/>
        </w:rPr>
      </w:pPr>
      <w:r w:rsidRPr="003C39CF">
        <w:rPr>
          <w:noProof/>
          <w:lang w:val="en-GB" w:eastAsia="en-GB"/>
        </w:rPr>
        <w:drawing>
          <wp:inline distT="0" distB="0" distL="0" distR="0" wp14:anchorId="3E8AFA42" wp14:editId="74AF8FD0">
            <wp:extent cx="5943600" cy="3581400"/>
            <wp:effectExtent l="0" t="0" r="0" b="0"/>
            <wp:docPr id="2" name="Chart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6781C8-2083-6845-8237-131DD884DB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D73F9" w:rsidRDefault="000D73F9" w:rsidP="00F150FB">
      <w:pPr>
        <w:pStyle w:val="FootnoteText1"/>
        <w:rPr>
          <w:lang w:val="en-GB"/>
        </w:rPr>
      </w:pPr>
      <w:r>
        <w:rPr>
          <w:lang w:val="en-GB"/>
        </w:rPr>
        <w:t xml:space="preserve">Note GHG = greenhouse gas; </w:t>
      </w:r>
      <w:r>
        <w:t>tCO</w:t>
      </w:r>
      <w:r w:rsidRPr="00781F10">
        <w:rPr>
          <w:vertAlign w:val="subscript"/>
        </w:rPr>
        <w:t>2</w:t>
      </w:r>
      <w:r>
        <w:t>e =</w:t>
      </w:r>
      <w:r w:rsidR="00937BDF" w:rsidRPr="00937BDF">
        <w:t xml:space="preserve"> </w:t>
      </w:r>
      <w:proofErr w:type="spellStart"/>
      <w:r w:rsidR="00937BDF" w:rsidRPr="00F150FB">
        <w:t>tonnes</w:t>
      </w:r>
      <w:proofErr w:type="spellEnd"/>
      <w:r w:rsidR="00937BDF" w:rsidRPr="00F150FB">
        <w:t xml:space="preserve"> of carbon dioxide equivalent</w:t>
      </w:r>
    </w:p>
    <w:p w:rsidR="00F150FB" w:rsidRPr="003C39CF" w:rsidRDefault="00F150FB" w:rsidP="00F150FB">
      <w:pPr>
        <w:pStyle w:val="FootnoteText1"/>
        <w:rPr>
          <w:lang w:val="en-GB"/>
        </w:rPr>
      </w:pPr>
      <w:r w:rsidRPr="003C39CF">
        <w:rPr>
          <w:lang w:val="en-GB"/>
        </w:rPr>
        <w:t xml:space="preserve">Source: Created by </w:t>
      </w:r>
      <w:r>
        <w:rPr>
          <w:lang w:val="en-GB"/>
        </w:rPr>
        <w:t xml:space="preserve">the </w:t>
      </w:r>
      <w:r w:rsidRPr="003C39CF">
        <w:rPr>
          <w:lang w:val="en-GB"/>
        </w:rPr>
        <w:t xml:space="preserve">authors using data from </w:t>
      </w:r>
      <w:r>
        <w:rPr>
          <w:lang w:val="en-GB"/>
        </w:rPr>
        <w:t>Climate Watch (website),</w:t>
      </w:r>
      <w:r w:rsidRPr="003C39CF">
        <w:rPr>
          <w:lang w:val="en-GB"/>
        </w:rPr>
        <w:t xml:space="preserve"> accessed August 1, 2018, </w:t>
      </w:r>
      <w:bookmarkStart w:id="2" w:name="_GoBack"/>
      <w:bookmarkEnd w:id="2"/>
      <w:r w:rsidRPr="003C39CF">
        <w:rPr>
          <w:lang w:val="en-GB"/>
        </w:rPr>
        <w:t>www.climatewatchdata.org.</w:t>
      </w:r>
    </w:p>
    <w:p w:rsidR="00F150FB" w:rsidRDefault="00F150FB" w:rsidP="00F150FB">
      <w:pPr>
        <w:pStyle w:val="BodyTextMain"/>
        <w:rPr>
          <w:lang w:val="en-GB"/>
        </w:rPr>
      </w:pPr>
    </w:p>
    <w:p w:rsidR="00F150FB" w:rsidRPr="003C39CF" w:rsidRDefault="00F150FB" w:rsidP="00F150FB">
      <w:pPr>
        <w:pStyle w:val="BodyTextMain"/>
        <w:rPr>
          <w:lang w:val="en-GB"/>
        </w:rPr>
      </w:pPr>
    </w:p>
    <w:p w:rsidR="00F150FB" w:rsidRPr="003C39CF" w:rsidRDefault="00F150FB" w:rsidP="00F150FB">
      <w:pPr>
        <w:pStyle w:val="Casehead1"/>
        <w:jc w:val="center"/>
        <w:rPr>
          <w:lang w:val="en-GB"/>
        </w:rPr>
      </w:pPr>
      <w:r w:rsidRPr="003C39CF">
        <w:rPr>
          <w:lang w:val="en-GB"/>
        </w:rPr>
        <w:t>Exhibit 2: GREENHOUSE GAS EMISSIONS BY SECTOR IN ONTARIO</w:t>
      </w:r>
    </w:p>
    <w:p w:rsidR="00F150FB" w:rsidRPr="003C39CF" w:rsidRDefault="00F150FB" w:rsidP="00F150FB">
      <w:pPr>
        <w:pStyle w:val="BodyTextMain"/>
        <w:rPr>
          <w:lang w:val="en-GB"/>
        </w:rPr>
      </w:pPr>
    </w:p>
    <w:p w:rsidR="00F150FB" w:rsidRPr="00F150FB" w:rsidRDefault="00F150FB" w:rsidP="00F150FB">
      <w:pPr>
        <w:jc w:val="center"/>
        <w:rPr>
          <w:rStyle w:val="BodyTextMainChar"/>
        </w:rPr>
      </w:pPr>
      <w:r w:rsidRPr="003C39CF">
        <w:rPr>
          <w:noProof/>
          <w:lang w:val="en-GB" w:eastAsia="en-GB"/>
        </w:rPr>
        <w:drawing>
          <wp:inline distT="0" distB="0" distL="0" distR="0" wp14:anchorId="3FEF8D64" wp14:editId="64101EC0">
            <wp:extent cx="4799278" cy="2855774"/>
            <wp:effectExtent l="0" t="0" r="1905" b="1905"/>
            <wp:docPr id="3" name="Chart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A1EF7" w:rsidRDefault="00F150FB" w:rsidP="000A1EF7">
      <w:pPr>
        <w:pStyle w:val="FootnoteText1"/>
        <w:rPr>
          <w:iCs w:val="0"/>
          <w:lang w:val="en-GB"/>
        </w:rPr>
      </w:pPr>
      <w:r w:rsidRPr="003C39CF">
        <w:rPr>
          <w:lang w:val="en-GB"/>
        </w:rPr>
        <w:t xml:space="preserve">Source: Created by </w:t>
      </w:r>
      <w:r>
        <w:rPr>
          <w:lang w:val="en-GB"/>
        </w:rPr>
        <w:t xml:space="preserve">the </w:t>
      </w:r>
      <w:r w:rsidRPr="003C39CF">
        <w:rPr>
          <w:lang w:val="en-GB"/>
        </w:rPr>
        <w:t>authors using data from “2015 National Inventory Report,” Environment Canada, accessed July 27, 2017, http://publications.gc.ca/collections/collection_2016/eccc/En81-4-2013-3-eng.pdf.</w:t>
      </w:r>
      <w:r w:rsidR="000A1EF7">
        <w:rPr>
          <w:lang w:val="en-GB"/>
        </w:rPr>
        <w:br w:type="page"/>
      </w:r>
    </w:p>
    <w:p w:rsidR="00F150FB" w:rsidRPr="003C39CF" w:rsidRDefault="00F150FB" w:rsidP="00F150FB">
      <w:pPr>
        <w:pStyle w:val="Casehead1"/>
        <w:jc w:val="center"/>
        <w:rPr>
          <w:lang w:val="en-GB"/>
        </w:rPr>
      </w:pPr>
      <w:r w:rsidRPr="003C39CF">
        <w:rPr>
          <w:lang w:val="en-GB"/>
        </w:rPr>
        <w:lastRenderedPageBreak/>
        <w:t>Exhibit 3: MARGINAL</w:t>
      </w:r>
      <w:r>
        <w:rPr>
          <w:lang w:val="en-GB"/>
        </w:rPr>
        <w:t>-</w:t>
      </w:r>
      <w:r w:rsidRPr="003C39CF">
        <w:rPr>
          <w:lang w:val="en-GB"/>
        </w:rPr>
        <w:t>ABATEMENT CURVE FOR THE CEMENT</w:t>
      </w:r>
      <w:r>
        <w:rPr>
          <w:lang w:val="en-GB"/>
        </w:rPr>
        <w:t>-</w:t>
      </w:r>
      <w:r w:rsidRPr="003C39CF">
        <w:rPr>
          <w:lang w:val="en-GB"/>
        </w:rPr>
        <w:t>PRODUCTION SECTOR</w:t>
      </w:r>
    </w:p>
    <w:p w:rsidR="00F150FB" w:rsidRPr="000A1EF7" w:rsidRDefault="00F150FB" w:rsidP="00F150FB">
      <w:pPr>
        <w:pStyle w:val="BodyTextMain"/>
        <w:rPr>
          <w:sz w:val="4"/>
          <w:szCs w:val="4"/>
          <w:lang w:val="en-GB"/>
        </w:rPr>
      </w:pPr>
    </w:p>
    <w:p w:rsidR="00F150FB" w:rsidRPr="00F150FB" w:rsidRDefault="00F150FB" w:rsidP="00F150FB">
      <w:pPr>
        <w:jc w:val="center"/>
        <w:rPr>
          <w:rStyle w:val="BodyTextMainChar"/>
        </w:rPr>
      </w:pPr>
      <w:r w:rsidRPr="003C39CF">
        <w:rPr>
          <w:noProof/>
          <w:lang w:val="en-GB" w:eastAsia="en-GB"/>
        </w:rPr>
        <w:drawing>
          <wp:inline distT="0" distB="0" distL="0" distR="0" wp14:anchorId="50A97BCC" wp14:editId="10FF33AE">
            <wp:extent cx="5753100" cy="244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8-11 at 10.14.42 AM.png"/>
                    <pic:cNvPicPr/>
                  </pic:nvPicPr>
                  <pic:blipFill>
                    <a:blip r:embed="rId14">
                      <a:extLst>
                        <a:ext uri="{28A0092B-C50C-407E-A947-70E740481C1C}">
                          <a14:useLocalDpi xmlns:a14="http://schemas.microsoft.com/office/drawing/2010/main" val="0"/>
                        </a:ext>
                      </a:extLst>
                    </a:blip>
                    <a:stretch>
                      <a:fillRect/>
                    </a:stretch>
                  </pic:blipFill>
                  <pic:spPr>
                    <a:xfrm>
                      <a:off x="0" y="0"/>
                      <a:ext cx="5794096" cy="2462171"/>
                    </a:xfrm>
                    <a:prstGeom prst="rect">
                      <a:avLst/>
                    </a:prstGeom>
                  </pic:spPr>
                </pic:pic>
              </a:graphicData>
            </a:graphic>
          </wp:inline>
        </w:drawing>
      </w:r>
    </w:p>
    <w:p w:rsidR="00F150FB" w:rsidRPr="00F150FB" w:rsidRDefault="00F150FB" w:rsidP="00F150FB">
      <w:pPr>
        <w:pStyle w:val="FootnoteText1"/>
      </w:pPr>
      <w:r w:rsidRPr="00F150FB">
        <w:t>Note: $ = CA$; tCO</w:t>
      </w:r>
      <w:r w:rsidRPr="00937BDF">
        <w:rPr>
          <w:vertAlign w:val="subscript"/>
        </w:rPr>
        <w:t>2</w:t>
      </w:r>
      <w:r w:rsidRPr="00F150FB">
        <w:t xml:space="preserve">e = </w:t>
      </w:r>
      <w:proofErr w:type="spellStart"/>
      <w:r w:rsidRPr="00F150FB">
        <w:t>tonnes</w:t>
      </w:r>
      <w:proofErr w:type="spellEnd"/>
      <w:r w:rsidRPr="00F150FB">
        <w:t xml:space="preserve"> of carbon dioxide equivalent; Mt CO2e = </w:t>
      </w:r>
      <w:proofErr w:type="spellStart"/>
      <w:r w:rsidRPr="00F150FB">
        <w:t>megatonnes</w:t>
      </w:r>
      <w:proofErr w:type="spellEnd"/>
      <w:r w:rsidRPr="00F150FB">
        <w:t xml:space="preserve"> of carbon dioxide equivalent</w:t>
      </w:r>
    </w:p>
    <w:p w:rsidR="00F150FB" w:rsidRPr="00F150FB" w:rsidRDefault="00F150FB" w:rsidP="00F150FB">
      <w:pPr>
        <w:pStyle w:val="FootnoteText1"/>
      </w:pPr>
      <w:r w:rsidRPr="00F150FB">
        <w:t>Source: Created by the author with data from “</w:t>
      </w:r>
      <w:r w:rsidRPr="00F150FB">
        <w:rPr>
          <w:rStyle w:val="s1"/>
          <w:sz w:val="17"/>
          <w:szCs w:val="17"/>
        </w:rPr>
        <w:t xml:space="preserve">Ireland’s Low-Carbon Opportunity: </w:t>
      </w:r>
      <w:r w:rsidRPr="00F150FB">
        <w:t>An Analysis of the Costs and Benefits of Reducing Greenhouse Gas Emission,” Sustainable Energy Authority of Ireland, accessed July 31, 2017, www.seai.ie/Publications/Renewables_Publications_/Low_Carbon_Opportunity_Study/Technical_Appendix.pdf.</w:t>
      </w:r>
    </w:p>
    <w:p w:rsidR="00F150FB" w:rsidRPr="003C39CF" w:rsidRDefault="00F150FB" w:rsidP="00F150FB">
      <w:pPr>
        <w:pStyle w:val="BodyTextMain"/>
        <w:rPr>
          <w:lang w:val="en-GB"/>
        </w:rPr>
      </w:pPr>
    </w:p>
    <w:p w:rsidR="00F150FB" w:rsidRPr="003C39CF" w:rsidRDefault="00F150FB" w:rsidP="00F150FB">
      <w:pPr>
        <w:pStyle w:val="BodyTextMain"/>
        <w:rPr>
          <w:lang w:val="en-GB"/>
        </w:rPr>
      </w:pPr>
    </w:p>
    <w:p w:rsidR="00F150FB" w:rsidRPr="003C39CF" w:rsidRDefault="00F150FB" w:rsidP="00F150FB">
      <w:pPr>
        <w:pStyle w:val="Casehead1"/>
        <w:jc w:val="center"/>
        <w:rPr>
          <w:lang w:val="en-GB"/>
        </w:rPr>
      </w:pPr>
      <w:r w:rsidRPr="003C39CF">
        <w:rPr>
          <w:lang w:val="en-GB"/>
        </w:rPr>
        <w:t>Exhibit 4: GLOBAL MARGINAL</w:t>
      </w:r>
      <w:r>
        <w:rPr>
          <w:lang w:val="en-GB"/>
        </w:rPr>
        <w:t>-</w:t>
      </w:r>
      <w:r w:rsidRPr="003C39CF">
        <w:rPr>
          <w:lang w:val="en-GB"/>
        </w:rPr>
        <w:t>ABATEMENT</w:t>
      </w:r>
      <w:r>
        <w:rPr>
          <w:lang w:val="en-GB"/>
        </w:rPr>
        <w:t>-</w:t>
      </w:r>
      <w:r w:rsidRPr="003C39CF">
        <w:rPr>
          <w:lang w:val="en-GB"/>
        </w:rPr>
        <w:t>COST CURVE ESTIMATE</w:t>
      </w:r>
    </w:p>
    <w:p w:rsidR="00F150FB" w:rsidRPr="000A1EF7" w:rsidRDefault="00F150FB" w:rsidP="00F150FB">
      <w:pPr>
        <w:pStyle w:val="BodyTextMain"/>
        <w:rPr>
          <w:sz w:val="8"/>
          <w:szCs w:val="8"/>
          <w:lang w:val="en-GB"/>
        </w:rPr>
      </w:pPr>
    </w:p>
    <w:p w:rsidR="00F150FB" w:rsidRPr="00F150FB" w:rsidRDefault="00F150FB" w:rsidP="00F150FB">
      <w:pPr>
        <w:jc w:val="center"/>
        <w:rPr>
          <w:rStyle w:val="BodyTextMainChar"/>
        </w:rPr>
      </w:pPr>
      <w:r w:rsidRPr="003C39CF">
        <w:rPr>
          <w:noProof/>
          <w:sz w:val="18"/>
          <w:lang w:val="en-GB" w:eastAsia="en-GB"/>
        </w:rPr>
        <w:drawing>
          <wp:inline distT="0" distB="0" distL="0" distR="0" wp14:anchorId="6872B6A7" wp14:editId="13D60926">
            <wp:extent cx="57912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5663" cy="3349029"/>
                    </a:xfrm>
                    <a:prstGeom prst="rect">
                      <a:avLst/>
                    </a:prstGeom>
                  </pic:spPr>
                </pic:pic>
              </a:graphicData>
            </a:graphic>
          </wp:inline>
        </w:drawing>
      </w:r>
    </w:p>
    <w:p w:rsidR="000A1EF7" w:rsidRPr="000A1EF7" w:rsidRDefault="000A1EF7" w:rsidP="00F150FB">
      <w:pPr>
        <w:pStyle w:val="FootnoteText1"/>
        <w:rPr>
          <w:sz w:val="8"/>
          <w:szCs w:val="8"/>
        </w:rPr>
      </w:pPr>
    </w:p>
    <w:p w:rsidR="00F150FB" w:rsidRPr="00F150FB" w:rsidRDefault="00F150FB" w:rsidP="00F150FB">
      <w:pPr>
        <w:pStyle w:val="FootnoteText1"/>
      </w:pPr>
      <w:r w:rsidRPr="00F150FB">
        <w:t xml:space="preserve">Note: € = euro; US$1 = €0.95 on January 1, 2017; tCO2e = </w:t>
      </w:r>
      <w:proofErr w:type="spellStart"/>
      <w:r w:rsidRPr="00F150FB">
        <w:t>tonnes</w:t>
      </w:r>
      <w:proofErr w:type="spellEnd"/>
      <w:r w:rsidRPr="00F150FB">
        <w:t xml:space="preserve"> of carbon dioxide equivalent; CCS = carbon capture and storage; HVAC = heating, ventilation, and air conditioning; PV = present value; CSP = concentrated solar power; GtCO2e = </w:t>
      </w:r>
      <w:proofErr w:type="spellStart"/>
      <w:r w:rsidRPr="00F150FB">
        <w:t>gigatonnes</w:t>
      </w:r>
      <w:proofErr w:type="spellEnd"/>
      <w:r w:rsidRPr="00F150FB">
        <w:t xml:space="preserve"> of carbon dioxide equivalent; LED = light-emitting diode</w:t>
      </w:r>
    </w:p>
    <w:p w:rsidR="00F150FB" w:rsidRPr="003C39CF" w:rsidRDefault="00F150FB" w:rsidP="000A1EF7">
      <w:pPr>
        <w:pStyle w:val="FootnoteText1"/>
        <w:rPr>
          <w:lang w:val="en-GB"/>
        </w:rPr>
      </w:pPr>
      <w:r w:rsidRPr="00F150FB">
        <w:t xml:space="preserve">Source: Created by the author with data from “Pathways to a Low-Carbon Economy: Version 2 of the Global Greenhouse Gas Abatement Cost Curve,” September 2013, McKinsey &amp; Company, accessed August 5, 2018, </w:t>
      </w:r>
      <w:hyperlink r:id="rId16" w:history="1">
        <w:r w:rsidRPr="00F150FB">
          <w:rPr>
            <w:rStyle w:val="Hyperlink"/>
            <w:color w:val="auto"/>
            <w:u w:val="none"/>
          </w:rPr>
          <w:t>www.mckinsey.com/business-functions/sustainability-and-resource-productivity/our-insights/pathways-to-a-low-carbon-economy</w:t>
        </w:r>
      </w:hyperlink>
      <w:r w:rsidRPr="00F150FB">
        <w:t>.</w:t>
      </w:r>
      <w:r w:rsidRPr="003C39CF">
        <w:rPr>
          <w:sz w:val="22"/>
          <w:szCs w:val="22"/>
          <w:lang w:val="en-GB"/>
        </w:rPr>
        <w:br w:type="page"/>
      </w:r>
    </w:p>
    <w:p w:rsidR="00F150FB" w:rsidRPr="003C39CF" w:rsidRDefault="00F150FB" w:rsidP="00F150FB">
      <w:pPr>
        <w:pStyle w:val="Casehead1"/>
        <w:jc w:val="center"/>
        <w:rPr>
          <w:lang w:val="en-GB"/>
        </w:rPr>
      </w:pPr>
      <w:r w:rsidRPr="003C39CF">
        <w:rPr>
          <w:lang w:val="en-GB"/>
        </w:rPr>
        <w:lastRenderedPageBreak/>
        <w:t xml:space="preserve">Exhibit 5: </w:t>
      </w:r>
      <w:bookmarkStart w:id="3" w:name="OLE_LINK1"/>
      <w:r w:rsidRPr="003C39CF">
        <w:rPr>
          <w:lang w:val="en-GB"/>
        </w:rPr>
        <w:t>GreenHouse Gas EMISSIONS REPORTED BY Four ONTARIO FIRMS</w:t>
      </w:r>
      <w:bookmarkEnd w:id="3"/>
    </w:p>
    <w:p w:rsidR="00F150FB" w:rsidRPr="003C39CF" w:rsidRDefault="00F150FB" w:rsidP="00F150FB">
      <w:pPr>
        <w:pStyle w:val="BodyTextMain"/>
        <w:rPr>
          <w:lang w:val="en-GB"/>
        </w:rPr>
      </w:pPr>
    </w:p>
    <w:p w:rsidR="00F150FB" w:rsidRPr="00F150FB" w:rsidRDefault="00F150FB" w:rsidP="00F150FB">
      <w:pPr>
        <w:rPr>
          <w:rStyle w:val="BodyTextMainChar"/>
        </w:rPr>
      </w:pPr>
      <w:r w:rsidRPr="003C39CF">
        <w:rPr>
          <w:noProof/>
          <w:lang w:val="en-GB" w:eastAsia="en-GB"/>
        </w:rPr>
        <w:drawing>
          <wp:inline distT="0" distB="0" distL="0" distR="0" wp14:anchorId="13BA35AA" wp14:editId="69A97307">
            <wp:extent cx="5924550" cy="3562350"/>
            <wp:effectExtent l="0" t="0" r="0" b="0"/>
            <wp:docPr id="5" name="Chart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7926E0A-A8FE-44C6-BA06-8135452C71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150FB" w:rsidRPr="003C39CF" w:rsidRDefault="00F150FB" w:rsidP="00F150FB">
      <w:pPr>
        <w:pStyle w:val="FootnoteText1"/>
        <w:rPr>
          <w:lang w:val="en-GB"/>
        </w:rPr>
      </w:pPr>
      <w:r w:rsidRPr="003C39CF">
        <w:rPr>
          <w:lang w:val="en-GB"/>
        </w:rPr>
        <w:t>Note: CO</w:t>
      </w:r>
      <w:r w:rsidRPr="003C39CF">
        <w:rPr>
          <w:vertAlign w:val="subscript"/>
          <w:lang w:val="en-GB"/>
        </w:rPr>
        <w:t>2</w:t>
      </w:r>
      <w:r w:rsidRPr="003C39CF">
        <w:rPr>
          <w:lang w:val="en-GB"/>
        </w:rPr>
        <w:t>e = carbon dioxide equivalent</w:t>
      </w:r>
    </w:p>
    <w:p w:rsidR="00F150FB" w:rsidRPr="003C39CF" w:rsidRDefault="00F150FB" w:rsidP="00F150FB">
      <w:pPr>
        <w:pStyle w:val="FootnoteText1"/>
        <w:rPr>
          <w:lang w:val="en-GB"/>
        </w:rPr>
      </w:pPr>
      <w:r w:rsidRPr="003C39CF">
        <w:rPr>
          <w:lang w:val="en-GB"/>
        </w:rPr>
        <w:t xml:space="preserve">Source: Created by the author with information from “Canada’s Greenhouse Gas Inventory,” Government of </w:t>
      </w:r>
      <w:proofErr w:type="gramStart"/>
      <w:r w:rsidRPr="003C39CF">
        <w:rPr>
          <w:lang w:val="en-GB"/>
        </w:rPr>
        <w:t>Canada,</w:t>
      </w:r>
      <w:proofErr w:type="gramEnd"/>
      <w:r w:rsidRPr="003C39CF">
        <w:rPr>
          <w:lang w:val="en-GB"/>
        </w:rPr>
        <w:t xml:space="preserve"> accessed June 26, 2018, www.canada.ca/en/environment-climate-change/services/climate-change/greenhouse-gas-emissions/inventory.html.</w:t>
      </w:r>
    </w:p>
    <w:p w:rsidR="00F150FB" w:rsidRPr="00F150FB" w:rsidRDefault="00F150FB" w:rsidP="00F150FB">
      <w:pPr>
        <w:pStyle w:val="BodyTextMain"/>
        <w:rPr>
          <w:lang w:val="en-GB"/>
        </w:rPr>
      </w:pPr>
    </w:p>
    <w:p w:rsidR="00F150FB" w:rsidRDefault="00F150FB" w:rsidP="00F150FB">
      <w:pPr>
        <w:pStyle w:val="BodyTextMain"/>
      </w:pPr>
    </w:p>
    <w:sectPr w:rsidR="00F150FB" w:rsidSect="00751E0B">
      <w:headerReference w:type="default" r:id="rId18"/>
      <w:pgSz w:w="12240" w:h="15840" w:code="1"/>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642" w:rsidRDefault="00711642" w:rsidP="00D75295">
      <w:r>
        <w:separator/>
      </w:r>
    </w:p>
  </w:endnote>
  <w:endnote w:type="continuationSeparator" w:id="0">
    <w:p w:rsidR="00711642" w:rsidRDefault="00711642"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Bold">
    <w:panose1 w:val="020B0704020202020204"/>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642" w:rsidRDefault="00711642" w:rsidP="00D75295">
      <w:r>
        <w:separator/>
      </w:r>
    </w:p>
  </w:footnote>
  <w:footnote w:type="continuationSeparator" w:id="0">
    <w:p w:rsidR="00711642" w:rsidRDefault="00711642" w:rsidP="00D75295">
      <w:r>
        <w:continuationSeparator/>
      </w:r>
    </w:p>
  </w:footnote>
  <w:footnote w:id="1">
    <w:p w:rsidR="00F150FB" w:rsidRPr="007D3A7E" w:rsidRDefault="00F150FB" w:rsidP="00F150FB">
      <w:pPr>
        <w:pStyle w:val="FootnoteText1"/>
        <w:rPr>
          <w:rFonts w:cs="Times New Roman"/>
          <w:spacing w:val="-2"/>
        </w:rPr>
      </w:pPr>
      <w:r w:rsidRPr="007D3A7E">
        <w:rPr>
          <w:rStyle w:val="FootnoteReference"/>
          <w:spacing w:val="-2"/>
        </w:rPr>
        <w:footnoteRef/>
      </w:r>
      <w:r w:rsidRPr="007D3A7E">
        <w:rPr>
          <w:spacing w:val="-2"/>
        </w:rPr>
        <w:t xml:space="preserve"> CO</w:t>
      </w:r>
      <w:r w:rsidRPr="007D3A7E">
        <w:rPr>
          <w:spacing w:val="-2"/>
          <w:vertAlign w:val="subscript"/>
        </w:rPr>
        <w:t>2</w:t>
      </w:r>
      <w:r w:rsidRPr="007D3A7E">
        <w:rPr>
          <w:spacing w:val="-2"/>
        </w:rPr>
        <w:t>e</w:t>
      </w:r>
      <w:r w:rsidRPr="007D3A7E">
        <w:rPr>
          <w:color w:val="222222"/>
          <w:spacing w:val="-2"/>
          <w:shd w:val="clear" w:color="auto" w:fill="FFFFFF"/>
        </w:rPr>
        <w:t xml:space="preserve"> referred to different greenhouse gases in a common unit. </w:t>
      </w:r>
      <w:r w:rsidRPr="007D3A7E">
        <w:rPr>
          <w:spacing w:val="-2"/>
        </w:rPr>
        <w:t>Each GHG had a different</w:t>
      </w:r>
      <w:r w:rsidR="00D866E7">
        <w:rPr>
          <w:spacing w:val="-2"/>
        </w:rPr>
        <w:t xml:space="preserve"> </w:t>
      </w:r>
      <w:r w:rsidRPr="007D3A7E">
        <w:rPr>
          <w:bCs/>
          <w:spacing w:val="-2"/>
          <w:bdr w:val="none" w:sz="0" w:space="0" w:color="auto" w:frame="1"/>
        </w:rPr>
        <w:t>global warming potential (GWP)</w:t>
      </w:r>
      <w:r w:rsidR="00D866E7">
        <w:rPr>
          <w:bCs/>
          <w:spacing w:val="-2"/>
          <w:bdr w:val="none" w:sz="0" w:space="0" w:color="auto" w:frame="1"/>
        </w:rPr>
        <w:t xml:space="preserve"> </w:t>
      </w:r>
      <w:r w:rsidRPr="007D3A7E">
        <w:rPr>
          <w:spacing w:val="-2"/>
        </w:rPr>
        <w:t>and persisted for a different length of time in the atmosphere. The</w:t>
      </w:r>
      <w:r w:rsidR="00D866E7">
        <w:rPr>
          <w:spacing w:val="-2"/>
        </w:rPr>
        <w:t xml:space="preserve"> </w:t>
      </w:r>
      <w:r w:rsidRPr="007D3A7E">
        <w:rPr>
          <w:bCs/>
          <w:spacing w:val="-2"/>
          <w:bdr w:val="none" w:sz="0" w:space="0" w:color="auto" w:frame="1"/>
        </w:rPr>
        <w:t>three main greenhouse gases</w:t>
      </w:r>
      <w:r w:rsidR="00D866E7">
        <w:rPr>
          <w:bCs/>
          <w:spacing w:val="-2"/>
          <w:bdr w:val="none" w:sz="0" w:space="0" w:color="auto" w:frame="1"/>
        </w:rPr>
        <w:t xml:space="preserve"> </w:t>
      </w:r>
      <w:r w:rsidRPr="007D3A7E">
        <w:rPr>
          <w:spacing w:val="-2"/>
        </w:rPr>
        <w:t xml:space="preserve">and their 100-year GWP were </w:t>
      </w:r>
      <w:r w:rsidRPr="007D3A7E">
        <w:rPr>
          <w:bCs/>
          <w:spacing w:val="-2"/>
          <w:bdr w:val="none" w:sz="0" w:space="0" w:color="auto" w:frame="1"/>
        </w:rPr>
        <w:t>carbon dioxide (CO</w:t>
      </w:r>
      <w:r w:rsidRPr="007D3A7E">
        <w:rPr>
          <w:bCs/>
          <w:spacing w:val="-2"/>
          <w:bdr w:val="none" w:sz="0" w:space="0" w:color="auto" w:frame="1"/>
          <w:vertAlign w:val="subscript"/>
        </w:rPr>
        <w:t>2</w:t>
      </w:r>
      <w:r w:rsidRPr="007D3A7E">
        <w:rPr>
          <w:bCs/>
          <w:spacing w:val="-2"/>
          <w:bdr w:val="none" w:sz="0" w:space="0" w:color="auto" w:frame="1"/>
        </w:rPr>
        <w:t>), with a 1× GWP; methane (CH</w:t>
      </w:r>
      <w:r w:rsidRPr="007D3A7E">
        <w:rPr>
          <w:bCs/>
          <w:spacing w:val="-2"/>
          <w:bdr w:val="none" w:sz="0" w:space="0" w:color="auto" w:frame="1"/>
          <w:vertAlign w:val="subscript"/>
        </w:rPr>
        <w:t>4</w:t>
      </w:r>
      <w:r w:rsidRPr="007D3A7E">
        <w:rPr>
          <w:bCs/>
          <w:spacing w:val="-2"/>
          <w:bdr w:val="none" w:sz="0" w:space="0" w:color="auto" w:frame="1"/>
        </w:rPr>
        <w:t>),</w:t>
      </w:r>
      <w:r w:rsidRPr="007D3A7E">
        <w:rPr>
          <w:spacing w:val="-2"/>
        </w:rPr>
        <w:t xml:space="preserve"> with a 25</w:t>
      </w:r>
      <w:r w:rsidRPr="007D3A7E">
        <w:rPr>
          <w:bCs/>
          <w:spacing w:val="-2"/>
          <w:bdr w:val="none" w:sz="0" w:space="0" w:color="auto" w:frame="1"/>
        </w:rPr>
        <w:t>×</w:t>
      </w:r>
      <w:r w:rsidRPr="007D3A7E">
        <w:rPr>
          <w:spacing w:val="-2"/>
        </w:rPr>
        <w:t xml:space="preserve"> GWP; and </w:t>
      </w:r>
      <w:r w:rsidRPr="007D3A7E">
        <w:rPr>
          <w:bCs/>
          <w:spacing w:val="-2"/>
          <w:bdr w:val="none" w:sz="0" w:space="0" w:color="auto" w:frame="1"/>
        </w:rPr>
        <w:t>nitrous oxide (N</w:t>
      </w:r>
      <w:r w:rsidRPr="007D3A7E">
        <w:rPr>
          <w:bCs/>
          <w:spacing w:val="-2"/>
          <w:bdr w:val="none" w:sz="0" w:space="0" w:color="auto" w:frame="1"/>
          <w:vertAlign w:val="subscript"/>
        </w:rPr>
        <w:t>2</w:t>
      </w:r>
      <w:r w:rsidRPr="007D3A7E">
        <w:rPr>
          <w:bCs/>
          <w:spacing w:val="-2"/>
          <w:bdr w:val="none" w:sz="0" w:space="0" w:color="auto" w:frame="1"/>
        </w:rPr>
        <w:t>O),</w:t>
      </w:r>
      <w:r w:rsidR="00D866E7">
        <w:rPr>
          <w:bCs/>
          <w:spacing w:val="-2"/>
          <w:bdr w:val="none" w:sz="0" w:space="0" w:color="auto" w:frame="1"/>
        </w:rPr>
        <w:t xml:space="preserve"> </w:t>
      </w:r>
      <w:r w:rsidRPr="007D3A7E">
        <w:rPr>
          <w:spacing w:val="-2"/>
        </w:rPr>
        <w:t>with a 298</w:t>
      </w:r>
      <w:r w:rsidRPr="007D3A7E">
        <w:rPr>
          <w:bCs/>
          <w:spacing w:val="-2"/>
          <w:bdr w:val="none" w:sz="0" w:space="0" w:color="auto" w:frame="1"/>
        </w:rPr>
        <w:t>×</w:t>
      </w:r>
      <w:r w:rsidRPr="007D3A7E">
        <w:rPr>
          <w:spacing w:val="-2"/>
        </w:rPr>
        <w:t xml:space="preserve"> GWP. For example, releasing</w:t>
      </w:r>
      <w:r w:rsidR="00D866E7">
        <w:rPr>
          <w:spacing w:val="-2"/>
        </w:rPr>
        <w:t xml:space="preserve"> </w:t>
      </w:r>
      <w:r w:rsidRPr="007D3A7E">
        <w:rPr>
          <w:spacing w:val="-2"/>
        </w:rPr>
        <w:t xml:space="preserve">1 </w:t>
      </w:r>
      <w:proofErr w:type="spellStart"/>
      <w:r w:rsidRPr="007D3A7E">
        <w:rPr>
          <w:spacing w:val="-2"/>
        </w:rPr>
        <w:t>tonne</w:t>
      </w:r>
      <w:proofErr w:type="spellEnd"/>
      <w:r w:rsidRPr="007D3A7E">
        <w:rPr>
          <w:spacing w:val="-2"/>
        </w:rPr>
        <w:t xml:space="preserve"> of N</w:t>
      </w:r>
      <w:r w:rsidRPr="007D3A7E">
        <w:rPr>
          <w:spacing w:val="-2"/>
          <w:bdr w:val="none" w:sz="0" w:space="0" w:color="auto" w:frame="1"/>
          <w:vertAlign w:val="subscript"/>
        </w:rPr>
        <w:t>2</w:t>
      </w:r>
      <w:r w:rsidRPr="007D3A7E">
        <w:rPr>
          <w:spacing w:val="-2"/>
        </w:rPr>
        <w:t>O</w:t>
      </w:r>
      <w:r w:rsidR="00D866E7">
        <w:rPr>
          <w:spacing w:val="-2"/>
        </w:rPr>
        <w:t xml:space="preserve"> </w:t>
      </w:r>
      <w:r w:rsidRPr="007D3A7E">
        <w:rPr>
          <w:spacing w:val="-2"/>
        </w:rPr>
        <w:t xml:space="preserve">into the atmosphere was approximately equivalent to releasing 298 </w:t>
      </w:r>
      <w:proofErr w:type="spellStart"/>
      <w:r w:rsidRPr="007D3A7E">
        <w:rPr>
          <w:spacing w:val="-2"/>
        </w:rPr>
        <w:t>tonnes</w:t>
      </w:r>
      <w:proofErr w:type="spellEnd"/>
      <w:r w:rsidRPr="007D3A7E">
        <w:rPr>
          <w:spacing w:val="-2"/>
        </w:rPr>
        <w:t xml:space="preserve"> of CO</w:t>
      </w:r>
      <w:r w:rsidRPr="007D3A7E">
        <w:rPr>
          <w:spacing w:val="-2"/>
          <w:vertAlign w:val="subscript"/>
        </w:rPr>
        <w:t>2</w:t>
      </w:r>
      <w:r w:rsidRPr="007D3A7E">
        <w:rPr>
          <w:spacing w:val="-2"/>
        </w:rPr>
        <w:t>.</w:t>
      </w:r>
    </w:p>
  </w:footnote>
  <w:footnote w:id="2">
    <w:p w:rsidR="00F150FB" w:rsidRPr="00BB3C73" w:rsidRDefault="00F150FB" w:rsidP="00F150FB">
      <w:pPr>
        <w:pStyle w:val="FootnoteText1"/>
        <w:rPr>
          <w:lang w:val="en-CA"/>
        </w:rPr>
      </w:pPr>
      <w:r>
        <w:rPr>
          <w:rStyle w:val="FootnoteReference"/>
        </w:rPr>
        <w:footnoteRef/>
      </w:r>
      <w:r>
        <w:t xml:space="preserve"> </w:t>
      </w:r>
      <w:r w:rsidRPr="00414641">
        <w:rPr>
          <w:lang w:val="en-CA"/>
        </w:rPr>
        <w:t>All currency amounts are in CA$ unless otherwise specified.</w:t>
      </w:r>
    </w:p>
  </w:footnote>
  <w:footnote w:id="3">
    <w:p w:rsidR="00F150FB" w:rsidRPr="007D3A7E" w:rsidRDefault="00F150FB" w:rsidP="00F150FB">
      <w:pPr>
        <w:pStyle w:val="FootnoteText1"/>
        <w:rPr>
          <w:spacing w:val="-2"/>
          <w:lang w:val="en-CA"/>
        </w:rPr>
      </w:pPr>
      <w:r w:rsidRPr="007D3A7E">
        <w:rPr>
          <w:rStyle w:val="FootnoteReference"/>
          <w:spacing w:val="-2"/>
        </w:rPr>
        <w:footnoteRef/>
      </w:r>
      <w:r w:rsidRPr="007D3A7E">
        <w:rPr>
          <w:spacing w:val="-2"/>
        </w:rPr>
        <w:t xml:space="preserve"> Stephen Leahy, “Parts of Asia May Be Too Hot for People by 2100,” </w:t>
      </w:r>
      <w:r w:rsidRPr="007D3A7E">
        <w:rPr>
          <w:i/>
          <w:spacing w:val="-2"/>
        </w:rPr>
        <w:t>National Geographic</w:t>
      </w:r>
      <w:r w:rsidRPr="007D3A7E">
        <w:rPr>
          <w:spacing w:val="-2"/>
        </w:rPr>
        <w:t>, August 2, 2017, accessed June 26, 2018, http://news.nationalgeographic.com/2017/08/south-asia-heat-waves-temperature-rise-global-warming-climate-change.</w:t>
      </w:r>
    </w:p>
  </w:footnote>
  <w:footnote w:id="4">
    <w:p w:rsidR="00F150FB" w:rsidRPr="00414641" w:rsidRDefault="00F150FB" w:rsidP="00F150FB">
      <w:pPr>
        <w:pStyle w:val="FootnoteText1"/>
        <w:rPr>
          <w:lang w:val="en-CA"/>
        </w:rPr>
      </w:pPr>
      <w:r w:rsidRPr="00414641">
        <w:rPr>
          <w:rStyle w:val="FootnoteReference"/>
        </w:rPr>
        <w:footnoteRef/>
      </w:r>
      <w:r w:rsidRPr="00414641">
        <w:t xml:space="preserve"> “The Global Risks Report 2017,” World Economic Forum, January 11, 2017, accessed June 26, 2018, www.weforum.org/reports/the-global-risks-report-2017.</w:t>
      </w:r>
    </w:p>
  </w:footnote>
  <w:footnote w:id="5">
    <w:p w:rsidR="00543E55" w:rsidRPr="00865341" w:rsidRDefault="00543E55" w:rsidP="00865341">
      <w:pPr>
        <w:pStyle w:val="FootnoteText1"/>
        <w:rPr>
          <w:spacing w:val="-4"/>
        </w:rPr>
      </w:pPr>
      <w:r w:rsidRPr="00865341">
        <w:rPr>
          <w:rStyle w:val="FootnoteReference"/>
        </w:rPr>
        <w:footnoteRef/>
      </w:r>
      <w:r w:rsidRPr="00865341">
        <w:t xml:space="preserve"> </w:t>
      </w:r>
      <w:r w:rsidR="00865341" w:rsidRPr="00865341">
        <w:rPr>
          <w:spacing w:val="-4"/>
        </w:rPr>
        <w:t>“Climate Change 2014 Synthesis Report,” IPCC, accessed June 26, 2018, www.ipcc.ch/news_and_events/docs/ar5/ar5_syr_headlines_en.pdf.</w:t>
      </w:r>
    </w:p>
  </w:footnote>
  <w:footnote w:id="6">
    <w:p w:rsidR="00F150FB" w:rsidRPr="00414641" w:rsidRDefault="00F150FB" w:rsidP="00F150FB">
      <w:pPr>
        <w:pStyle w:val="FootnoteText1"/>
        <w:rPr>
          <w:lang w:val="en-CA"/>
        </w:rPr>
      </w:pPr>
      <w:r w:rsidRPr="00414641">
        <w:rPr>
          <w:rStyle w:val="FootnoteReference"/>
        </w:rPr>
        <w:footnoteRef/>
      </w:r>
      <w:r w:rsidRPr="00414641">
        <w:t xml:space="preserve"> Nick </w:t>
      </w:r>
      <w:proofErr w:type="spellStart"/>
      <w:r w:rsidRPr="00414641">
        <w:t>Evershed</w:t>
      </w:r>
      <w:proofErr w:type="spellEnd"/>
      <w:r w:rsidRPr="00414641">
        <w:t>, “Carbon Countdown Clock: How Much of the World’s Carbon Budget Have We Spent</w:t>
      </w:r>
      <w:proofErr w:type="gramStart"/>
      <w:r w:rsidRPr="00414641">
        <w:t>?</w:t>
      </w:r>
      <w:r>
        <w:t>,</w:t>
      </w:r>
      <w:proofErr w:type="gramEnd"/>
      <w:r w:rsidRPr="00414641">
        <w:t xml:space="preserve">” </w:t>
      </w:r>
      <w:r w:rsidRPr="00B14554">
        <w:rPr>
          <w:i/>
        </w:rPr>
        <w:t>The Guardian</w:t>
      </w:r>
      <w:r w:rsidRPr="00414641">
        <w:t>, January 19, 2017, accessed June 26, 2018, www.theguardian.com/environment/datablog/2017/jan/19/carbon-countdown-clock-how-much-of-the-worlds-carbon-budget-have-we-spent.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3667" w:rsidRPr="00C92CC4" w:rsidRDefault="00D13667"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865341">
      <w:rPr>
        <w:rFonts w:ascii="Arial" w:hAnsi="Arial"/>
        <w:b/>
        <w:noProof/>
      </w:rPr>
      <w:t>8</w:t>
    </w:r>
    <w:r>
      <w:rPr>
        <w:rFonts w:ascii="Arial" w:hAnsi="Arial"/>
        <w:b/>
      </w:rPr>
      <w:fldChar w:fldCharType="end"/>
    </w:r>
    <w:r>
      <w:rPr>
        <w:rFonts w:ascii="Arial" w:hAnsi="Arial"/>
        <w:b/>
      </w:rPr>
      <w:tab/>
    </w:r>
    <w:r w:rsidR="00F150FB">
      <w:rPr>
        <w:rFonts w:ascii="Arial" w:hAnsi="Arial"/>
        <w:b/>
      </w:rPr>
      <w:t>9B18M132</w:t>
    </w:r>
  </w:p>
  <w:p w:rsidR="00D13667" w:rsidRDefault="00D13667" w:rsidP="00D13667">
    <w:pPr>
      <w:pStyle w:val="Header"/>
      <w:tabs>
        <w:tab w:val="clear" w:pos="4680"/>
      </w:tabs>
      <w:rPr>
        <w:sz w:val="18"/>
        <w:szCs w:val="18"/>
      </w:rPr>
    </w:pPr>
  </w:p>
  <w:p w:rsidR="000D7091" w:rsidRPr="00C92CC4" w:rsidRDefault="000D7091" w:rsidP="00D13667">
    <w:pPr>
      <w:pStyle w:val="Header"/>
      <w:tabs>
        <w:tab w:val="clear" w:pos="4680"/>
      </w:tabs>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02770D"/>
    <w:multiLevelType w:val="hybridMultilevel"/>
    <w:tmpl w:val="FC120104"/>
    <w:lvl w:ilvl="0" w:tplc="10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60D22655"/>
    <w:multiLevelType w:val="hybridMultilevel"/>
    <w:tmpl w:val="82B0088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9420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4DC4"/>
    <w:rsid w:val="0000085A"/>
    <w:rsid w:val="00013360"/>
    <w:rsid w:val="00016759"/>
    <w:rsid w:val="000216CE"/>
    <w:rsid w:val="00024ED4"/>
    <w:rsid w:val="00025DC7"/>
    <w:rsid w:val="00035F09"/>
    <w:rsid w:val="00044ECC"/>
    <w:rsid w:val="000531D3"/>
    <w:rsid w:val="0005646B"/>
    <w:rsid w:val="0008102D"/>
    <w:rsid w:val="00094C0E"/>
    <w:rsid w:val="000A1EF7"/>
    <w:rsid w:val="000D7091"/>
    <w:rsid w:val="000D73F9"/>
    <w:rsid w:val="000F0C22"/>
    <w:rsid w:val="000F6B09"/>
    <w:rsid w:val="000F6FDC"/>
    <w:rsid w:val="00104567"/>
    <w:rsid w:val="00104916"/>
    <w:rsid w:val="00104AA7"/>
    <w:rsid w:val="0012732D"/>
    <w:rsid w:val="00143F25"/>
    <w:rsid w:val="00152682"/>
    <w:rsid w:val="00154FC9"/>
    <w:rsid w:val="0019241A"/>
    <w:rsid w:val="001A22D1"/>
    <w:rsid w:val="001A2585"/>
    <w:rsid w:val="001A752D"/>
    <w:rsid w:val="001A757E"/>
    <w:rsid w:val="001B5032"/>
    <w:rsid w:val="001C7777"/>
    <w:rsid w:val="001E364F"/>
    <w:rsid w:val="001F4222"/>
    <w:rsid w:val="00203AA1"/>
    <w:rsid w:val="00213E98"/>
    <w:rsid w:val="0023081A"/>
    <w:rsid w:val="002F460C"/>
    <w:rsid w:val="002F48D6"/>
    <w:rsid w:val="00317391"/>
    <w:rsid w:val="00326216"/>
    <w:rsid w:val="00336580"/>
    <w:rsid w:val="00354899"/>
    <w:rsid w:val="00355FD6"/>
    <w:rsid w:val="00364A5C"/>
    <w:rsid w:val="00373FB1"/>
    <w:rsid w:val="00396C76"/>
    <w:rsid w:val="003B30D8"/>
    <w:rsid w:val="003B7EF2"/>
    <w:rsid w:val="003C3FA4"/>
    <w:rsid w:val="003F2B0C"/>
    <w:rsid w:val="004105B2"/>
    <w:rsid w:val="004221E4"/>
    <w:rsid w:val="004273F8"/>
    <w:rsid w:val="004355A3"/>
    <w:rsid w:val="00446546"/>
    <w:rsid w:val="00452769"/>
    <w:rsid w:val="00465348"/>
    <w:rsid w:val="00480222"/>
    <w:rsid w:val="004B1CCB"/>
    <w:rsid w:val="004B632F"/>
    <w:rsid w:val="004C2571"/>
    <w:rsid w:val="004D3FB1"/>
    <w:rsid w:val="004D658C"/>
    <w:rsid w:val="004D6F21"/>
    <w:rsid w:val="004D73A5"/>
    <w:rsid w:val="005160F1"/>
    <w:rsid w:val="00524F2F"/>
    <w:rsid w:val="00527E5C"/>
    <w:rsid w:val="00532CF5"/>
    <w:rsid w:val="00543E55"/>
    <w:rsid w:val="005528CB"/>
    <w:rsid w:val="00566771"/>
    <w:rsid w:val="00581E2E"/>
    <w:rsid w:val="00584F15"/>
    <w:rsid w:val="0059514B"/>
    <w:rsid w:val="005A1B0F"/>
    <w:rsid w:val="006163F7"/>
    <w:rsid w:val="00627C63"/>
    <w:rsid w:val="0063350B"/>
    <w:rsid w:val="00652606"/>
    <w:rsid w:val="006946EE"/>
    <w:rsid w:val="006A58A9"/>
    <w:rsid w:val="006A606D"/>
    <w:rsid w:val="006C0371"/>
    <w:rsid w:val="006C08B6"/>
    <w:rsid w:val="006C0B1A"/>
    <w:rsid w:val="006C6065"/>
    <w:rsid w:val="006C7F9F"/>
    <w:rsid w:val="006E2F6D"/>
    <w:rsid w:val="006E58F6"/>
    <w:rsid w:val="006E77E1"/>
    <w:rsid w:val="006F131D"/>
    <w:rsid w:val="00711642"/>
    <w:rsid w:val="007507C6"/>
    <w:rsid w:val="00751E0B"/>
    <w:rsid w:val="00752BCD"/>
    <w:rsid w:val="00766DA1"/>
    <w:rsid w:val="00780D94"/>
    <w:rsid w:val="007866A6"/>
    <w:rsid w:val="007A130D"/>
    <w:rsid w:val="007D1A2D"/>
    <w:rsid w:val="007D3A7E"/>
    <w:rsid w:val="007D4102"/>
    <w:rsid w:val="007F43B7"/>
    <w:rsid w:val="00821FFC"/>
    <w:rsid w:val="008271CA"/>
    <w:rsid w:val="008467D5"/>
    <w:rsid w:val="00865341"/>
    <w:rsid w:val="008A4DC4"/>
    <w:rsid w:val="008B438C"/>
    <w:rsid w:val="008D06CA"/>
    <w:rsid w:val="008D3A46"/>
    <w:rsid w:val="009067A4"/>
    <w:rsid w:val="00933D68"/>
    <w:rsid w:val="009340DB"/>
    <w:rsid w:val="00937BDF"/>
    <w:rsid w:val="0094618C"/>
    <w:rsid w:val="0095684B"/>
    <w:rsid w:val="00972498"/>
    <w:rsid w:val="0097481F"/>
    <w:rsid w:val="00974CC6"/>
    <w:rsid w:val="00976AD4"/>
    <w:rsid w:val="00995547"/>
    <w:rsid w:val="009A312F"/>
    <w:rsid w:val="009A5348"/>
    <w:rsid w:val="009B0AB7"/>
    <w:rsid w:val="009C76D5"/>
    <w:rsid w:val="009F7AA4"/>
    <w:rsid w:val="00A10AD7"/>
    <w:rsid w:val="00A559DB"/>
    <w:rsid w:val="00A569EA"/>
    <w:rsid w:val="00AF35FC"/>
    <w:rsid w:val="00AF5556"/>
    <w:rsid w:val="00B03639"/>
    <w:rsid w:val="00B0652A"/>
    <w:rsid w:val="00B40937"/>
    <w:rsid w:val="00B423EF"/>
    <w:rsid w:val="00B453DE"/>
    <w:rsid w:val="00B72597"/>
    <w:rsid w:val="00B901F9"/>
    <w:rsid w:val="00BD6EFB"/>
    <w:rsid w:val="00C1584D"/>
    <w:rsid w:val="00C15BE2"/>
    <w:rsid w:val="00C3447F"/>
    <w:rsid w:val="00C67102"/>
    <w:rsid w:val="00C81491"/>
    <w:rsid w:val="00C81676"/>
    <w:rsid w:val="00C85C5D"/>
    <w:rsid w:val="00C92CC4"/>
    <w:rsid w:val="00CA0AFB"/>
    <w:rsid w:val="00CA2CE1"/>
    <w:rsid w:val="00CA3976"/>
    <w:rsid w:val="00CA50E3"/>
    <w:rsid w:val="00CA757B"/>
    <w:rsid w:val="00CC1787"/>
    <w:rsid w:val="00CC182C"/>
    <w:rsid w:val="00CD0824"/>
    <w:rsid w:val="00CD2908"/>
    <w:rsid w:val="00D03A82"/>
    <w:rsid w:val="00D13667"/>
    <w:rsid w:val="00D15344"/>
    <w:rsid w:val="00D23F57"/>
    <w:rsid w:val="00D31BEC"/>
    <w:rsid w:val="00D63150"/>
    <w:rsid w:val="00D636BA"/>
    <w:rsid w:val="00D64A32"/>
    <w:rsid w:val="00D64EFC"/>
    <w:rsid w:val="00D75295"/>
    <w:rsid w:val="00D76CE9"/>
    <w:rsid w:val="00D866E7"/>
    <w:rsid w:val="00D97F12"/>
    <w:rsid w:val="00DA6095"/>
    <w:rsid w:val="00DB42E7"/>
    <w:rsid w:val="00DE01A6"/>
    <w:rsid w:val="00DE7A98"/>
    <w:rsid w:val="00DF32C2"/>
    <w:rsid w:val="00E471A7"/>
    <w:rsid w:val="00E635CF"/>
    <w:rsid w:val="00EC6E0A"/>
    <w:rsid w:val="00ED4E18"/>
    <w:rsid w:val="00EE1F37"/>
    <w:rsid w:val="00F0159C"/>
    <w:rsid w:val="00F105B7"/>
    <w:rsid w:val="00F13220"/>
    <w:rsid w:val="00F150FB"/>
    <w:rsid w:val="00F17A21"/>
    <w:rsid w:val="00F37B27"/>
    <w:rsid w:val="00F46556"/>
    <w:rsid w:val="00F50E91"/>
    <w:rsid w:val="00F57D29"/>
    <w:rsid w:val="00F94C30"/>
    <w:rsid w:val="00F96201"/>
    <w:rsid w:val="00FD0B18"/>
    <w:rsid w:val="00FD2FAD"/>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420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iPriority w:val="9"/>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1F4222"/>
    <w:pPr>
      <w:jc w:val="both"/>
    </w:pPr>
    <w:rPr>
      <w:rFonts w:ascii="Arial" w:hAnsi="Arial" w:cs="Arial"/>
      <w:sz w:val="17"/>
      <w:szCs w:val="17"/>
    </w:rPr>
  </w:style>
  <w:style w:type="character" w:customStyle="1" w:styleId="FootnoteChar">
    <w:name w:val="Footnote Char"/>
    <w:basedOn w:val="FootnoteTextChar"/>
    <w:link w:val="Footnote"/>
    <w:rsid w:val="001F4222"/>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F150FB"/>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22"/>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numbering" w:customStyle="1" w:styleId="NoList1">
    <w:name w:val="No List1"/>
    <w:next w:val="NoList"/>
    <w:uiPriority w:val="99"/>
    <w:semiHidden/>
    <w:unhideWhenUsed/>
    <w:rsid w:val="00F94C30"/>
  </w:style>
  <w:style w:type="paragraph" w:styleId="PlainText">
    <w:name w:val="Plain Text"/>
    <w:basedOn w:val="Normal"/>
    <w:link w:val="PlainTextChar"/>
    <w:uiPriority w:val="99"/>
    <w:rsid w:val="00F94C30"/>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F94C30"/>
    <w:rPr>
      <w:rFonts w:ascii="Consolas" w:eastAsiaTheme="minorEastAsia" w:hAnsi="Consolas" w:cs="Consolas"/>
      <w:sz w:val="21"/>
      <w:szCs w:val="21"/>
      <w:lang w:eastAsia="zh-CN"/>
    </w:rPr>
  </w:style>
  <w:style w:type="character" w:customStyle="1" w:styleId="Title1">
    <w:name w:val="Title1"/>
    <w:basedOn w:val="DefaultParagraphFont"/>
    <w:uiPriority w:val="99"/>
    <w:rsid w:val="00F94C30"/>
  </w:style>
  <w:style w:type="character" w:customStyle="1" w:styleId="nowrap">
    <w:name w:val="nowrap"/>
    <w:basedOn w:val="DefaultParagraphFont"/>
    <w:rsid w:val="00F94C30"/>
  </w:style>
  <w:style w:type="character" w:customStyle="1" w:styleId="Mention1">
    <w:name w:val="Mention1"/>
    <w:basedOn w:val="DefaultParagraphFont"/>
    <w:uiPriority w:val="99"/>
    <w:semiHidden/>
    <w:unhideWhenUsed/>
    <w:rsid w:val="00F94C30"/>
    <w:rPr>
      <w:color w:val="2B579A"/>
      <w:shd w:val="clear" w:color="auto" w:fill="E6E6E6"/>
    </w:rPr>
  </w:style>
  <w:style w:type="character" w:customStyle="1" w:styleId="Mention2">
    <w:name w:val="Mention2"/>
    <w:basedOn w:val="DefaultParagraphFont"/>
    <w:uiPriority w:val="99"/>
    <w:semiHidden/>
    <w:unhideWhenUsed/>
    <w:rsid w:val="00F94C30"/>
    <w:rPr>
      <w:color w:val="2B579A"/>
      <w:shd w:val="clear" w:color="auto" w:fill="E6E6E6"/>
    </w:rPr>
  </w:style>
  <w:style w:type="character" w:customStyle="1" w:styleId="Mention">
    <w:name w:val="Mention"/>
    <w:basedOn w:val="DefaultParagraphFont"/>
    <w:uiPriority w:val="99"/>
    <w:semiHidden/>
    <w:unhideWhenUsed/>
    <w:rsid w:val="00F94C30"/>
    <w:rPr>
      <w:color w:val="2B579A"/>
      <w:shd w:val="clear" w:color="auto" w:fill="E6E6E6"/>
    </w:rPr>
  </w:style>
  <w:style w:type="paragraph" w:customStyle="1" w:styleId="Default">
    <w:name w:val="Default"/>
    <w:rsid w:val="00F94C30"/>
    <w:pPr>
      <w:autoSpaceDE w:val="0"/>
      <w:autoSpaceDN w:val="0"/>
      <w:adjustRightInd w:val="0"/>
      <w:spacing w:after="0" w:line="240" w:lineRule="auto"/>
    </w:pPr>
    <w:rPr>
      <w:rFonts w:ascii="Calibri" w:hAnsi="Calibri" w:cs="Calibri"/>
      <w:color w:val="000000"/>
      <w:sz w:val="24"/>
      <w:szCs w:val="24"/>
    </w:rPr>
  </w:style>
  <w:style w:type="character" w:customStyle="1" w:styleId="p-content">
    <w:name w:val="p-content"/>
    <w:basedOn w:val="DefaultParagraphFont"/>
    <w:rsid w:val="00F94C30"/>
    <w:rPr>
      <w:vanish w:val="0"/>
      <w:webHidden w:val="0"/>
      <w:specVanish w:val="0"/>
    </w:rPr>
  </w:style>
  <w:style w:type="character" w:customStyle="1" w:styleId="mw-headline">
    <w:name w:val="mw-headline"/>
    <w:basedOn w:val="DefaultParagraphFont"/>
    <w:rsid w:val="00F94C30"/>
  </w:style>
  <w:style w:type="paragraph" w:customStyle="1" w:styleId="xmsonormal">
    <w:name w:val="x_msonormal"/>
    <w:basedOn w:val="Normal"/>
    <w:uiPriority w:val="99"/>
    <w:semiHidden/>
    <w:rsid w:val="00F94C30"/>
    <w:rPr>
      <w:rFonts w:eastAsiaTheme="minorHAnsi"/>
      <w:lang w:val="en-IN" w:eastAsia="en-IN"/>
    </w:rPr>
  </w:style>
  <w:style w:type="character" w:customStyle="1" w:styleId="s1">
    <w:name w:val="s1"/>
    <w:basedOn w:val="DefaultParagraphFont"/>
    <w:rsid w:val="00F150FB"/>
    <w:rPr>
      <w:rFonts w:ascii="Arial" w:hAnsi="Arial" w:cs="Arial" w:hint="default"/>
      <w:sz w:val="27"/>
      <w:szCs w:val="2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iPriority w:val="9"/>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1F4222"/>
    <w:pPr>
      <w:jc w:val="both"/>
    </w:pPr>
    <w:rPr>
      <w:rFonts w:ascii="Arial" w:hAnsi="Arial" w:cs="Arial"/>
      <w:sz w:val="17"/>
      <w:szCs w:val="17"/>
    </w:rPr>
  </w:style>
  <w:style w:type="character" w:customStyle="1" w:styleId="FootnoteChar">
    <w:name w:val="Footnote Char"/>
    <w:basedOn w:val="FootnoteTextChar"/>
    <w:link w:val="Footnote"/>
    <w:rsid w:val="001F4222"/>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F150FB"/>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22"/>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numbering" w:customStyle="1" w:styleId="NoList1">
    <w:name w:val="No List1"/>
    <w:next w:val="NoList"/>
    <w:uiPriority w:val="99"/>
    <w:semiHidden/>
    <w:unhideWhenUsed/>
    <w:rsid w:val="00F94C30"/>
  </w:style>
  <w:style w:type="paragraph" w:styleId="PlainText">
    <w:name w:val="Plain Text"/>
    <w:basedOn w:val="Normal"/>
    <w:link w:val="PlainTextChar"/>
    <w:uiPriority w:val="99"/>
    <w:rsid w:val="00F94C30"/>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F94C30"/>
    <w:rPr>
      <w:rFonts w:ascii="Consolas" w:eastAsiaTheme="minorEastAsia" w:hAnsi="Consolas" w:cs="Consolas"/>
      <w:sz w:val="21"/>
      <w:szCs w:val="21"/>
      <w:lang w:eastAsia="zh-CN"/>
    </w:rPr>
  </w:style>
  <w:style w:type="character" w:customStyle="1" w:styleId="Title1">
    <w:name w:val="Title1"/>
    <w:basedOn w:val="DefaultParagraphFont"/>
    <w:uiPriority w:val="99"/>
    <w:rsid w:val="00F94C30"/>
  </w:style>
  <w:style w:type="character" w:customStyle="1" w:styleId="nowrap">
    <w:name w:val="nowrap"/>
    <w:basedOn w:val="DefaultParagraphFont"/>
    <w:rsid w:val="00F94C30"/>
  </w:style>
  <w:style w:type="character" w:customStyle="1" w:styleId="Mention1">
    <w:name w:val="Mention1"/>
    <w:basedOn w:val="DefaultParagraphFont"/>
    <w:uiPriority w:val="99"/>
    <w:semiHidden/>
    <w:unhideWhenUsed/>
    <w:rsid w:val="00F94C30"/>
    <w:rPr>
      <w:color w:val="2B579A"/>
      <w:shd w:val="clear" w:color="auto" w:fill="E6E6E6"/>
    </w:rPr>
  </w:style>
  <w:style w:type="character" w:customStyle="1" w:styleId="Mention2">
    <w:name w:val="Mention2"/>
    <w:basedOn w:val="DefaultParagraphFont"/>
    <w:uiPriority w:val="99"/>
    <w:semiHidden/>
    <w:unhideWhenUsed/>
    <w:rsid w:val="00F94C30"/>
    <w:rPr>
      <w:color w:val="2B579A"/>
      <w:shd w:val="clear" w:color="auto" w:fill="E6E6E6"/>
    </w:rPr>
  </w:style>
  <w:style w:type="character" w:customStyle="1" w:styleId="Mention">
    <w:name w:val="Mention"/>
    <w:basedOn w:val="DefaultParagraphFont"/>
    <w:uiPriority w:val="99"/>
    <w:semiHidden/>
    <w:unhideWhenUsed/>
    <w:rsid w:val="00F94C30"/>
    <w:rPr>
      <w:color w:val="2B579A"/>
      <w:shd w:val="clear" w:color="auto" w:fill="E6E6E6"/>
    </w:rPr>
  </w:style>
  <w:style w:type="paragraph" w:customStyle="1" w:styleId="Default">
    <w:name w:val="Default"/>
    <w:rsid w:val="00F94C30"/>
    <w:pPr>
      <w:autoSpaceDE w:val="0"/>
      <w:autoSpaceDN w:val="0"/>
      <w:adjustRightInd w:val="0"/>
      <w:spacing w:after="0" w:line="240" w:lineRule="auto"/>
    </w:pPr>
    <w:rPr>
      <w:rFonts w:ascii="Calibri" w:hAnsi="Calibri" w:cs="Calibri"/>
      <w:color w:val="000000"/>
      <w:sz w:val="24"/>
      <w:szCs w:val="24"/>
    </w:rPr>
  </w:style>
  <w:style w:type="character" w:customStyle="1" w:styleId="p-content">
    <w:name w:val="p-content"/>
    <w:basedOn w:val="DefaultParagraphFont"/>
    <w:rsid w:val="00F94C30"/>
    <w:rPr>
      <w:vanish w:val="0"/>
      <w:webHidden w:val="0"/>
      <w:specVanish w:val="0"/>
    </w:rPr>
  </w:style>
  <w:style w:type="character" w:customStyle="1" w:styleId="mw-headline">
    <w:name w:val="mw-headline"/>
    <w:basedOn w:val="DefaultParagraphFont"/>
    <w:rsid w:val="00F94C30"/>
  </w:style>
  <w:style w:type="paragraph" w:customStyle="1" w:styleId="xmsonormal">
    <w:name w:val="x_msonormal"/>
    <w:basedOn w:val="Normal"/>
    <w:uiPriority w:val="99"/>
    <w:semiHidden/>
    <w:rsid w:val="00F94C30"/>
    <w:rPr>
      <w:rFonts w:eastAsiaTheme="minorHAnsi"/>
      <w:lang w:val="en-IN" w:eastAsia="en-IN"/>
    </w:rPr>
  </w:style>
  <w:style w:type="character" w:customStyle="1" w:styleId="s1">
    <w:name w:val="s1"/>
    <w:basedOn w:val="DefaultParagraphFont"/>
    <w:rsid w:val="00F150FB"/>
    <w:rPr>
      <w:rFonts w:ascii="Arial" w:hAnsi="Arial" w:cs="Arial" w:hint="default"/>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2.xml"/><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hyperlink" Target="http://www.mckinsey.com/business-functions/sustainability-and-resource-productivity/our-insights/pathways-to-a-low-carbon-economy"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veycases.com" TargetMode="External"/><Relationship Id="rId5" Type="http://schemas.openxmlformats.org/officeDocument/2006/relationships/settings" Target="settings.xml"/><Relationship Id="rId15" Type="http://schemas.openxmlformats.org/officeDocument/2006/relationships/image" Target="media/image3.tiff"/><Relationship Id="rId10" Type="http://schemas.openxmlformats.org/officeDocument/2006/relationships/hyperlink" Target="mailto:cases@ivey.ca" TargetMode="Externa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Book3"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Users\afremeth-local\Downloads\2015_NIR\2015_NIR_Revised.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private\var\folders\vq\2ds57dtn1y7cgrsm01w1sxp00000gp\T\com.microsoft.Outlook\Outlook%20Temp\Workbook%20on%20GHG%20emiss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tx1"/>
            </a:solidFill>
            <a:ln>
              <a:noFill/>
            </a:ln>
            <a:effectLst/>
          </c:spPr>
          <c:invertIfNegative val="0"/>
          <c:dPt>
            <c:idx val="9"/>
            <c:invertIfNegative val="0"/>
            <c:bubble3D val="0"/>
            <c:spPr>
              <a:pattFill prst="wdUpDiag">
                <a:fgClr>
                  <a:schemeClr val="tx1"/>
                </a:fgClr>
                <a:bgClr>
                  <a:schemeClr val="bg1"/>
                </a:bgClr>
              </a:pattFill>
              <a:ln>
                <a:noFill/>
              </a:ln>
              <a:effectLst/>
            </c:spPr>
            <c:extLst xmlns:c16r2="http://schemas.microsoft.com/office/drawing/2015/06/chart">
              <c:ext xmlns:c16="http://schemas.microsoft.com/office/drawing/2014/chart" uri="{C3380CC4-5D6E-409C-BE32-E72D297353CC}">
                <c16:uniqueId val="{00000001-0C2E-0F43-B738-F8D8E1C369D8}"/>
              </c:ext>
            </c:extLst>
          </c:dPt>
          <c:cat>
            <c:strRef>
              <c:f>Sheet1!$B$3:$B$13</c:f>
              <c:strCache>
                <c:ptCount val="11"/>
                <c:pt idx="0">
                  <c:v>Canada</c:v>
                </c:pt>
                <c:pt idx="1">
                  <c:v>United States</c:v>
                </c:pt>
                <c:pt idx="2">
                  <c:v>Russian Federation</c:v>
                </c:pt>
                <c:pt idx="3">
                  <c:v>Japan</c:v>
                </c:pt>
                <c:pt idx="4">
                  <c:v>European Union</c:v>
                </c:pt>
                <c:pt idx="5">
                  <c:v>Indonesia</c:v>
                </c:pt>
                <c:pt idx="6">
                  <c:v>China</c:v>
                </c:pt>
                <c:pt idx="7">
                  <c:v>Brazil</c:v>
                </c:pt>
                <c:pt idx="8">
                  <c:v>Mexico </c:v>
                </c:pt>
                <c:pt idx="9">
                  <c:v>World Average</c:v>
                </c:pt>
                <c:pt idx="10">
                  <c:v>India</c:v>
                </c:pt>
              </c:strCache>
            </c:strRef>
          </c:cat>
          <c:val>
            <c:numRef>
              <c:f>Sheet1!$C$3:$C$13</c:f>
              <c:numCache>
                <c:formatCode>General</c:formatCode>
                <c:ptCount val="11"/>
                <c:pt idx="0">
                  <c:v>24.39</c:v>
                </c:pt>
                <c:pt idx="1">
                  <c:v>19.84</c:v>
                </c:pt>
                <c:pt idx="2">
                  <c:v>14.12</c:v>
                </c:pt>
                <c:pt idx="3">
                  <c:v>10.39</c:v>
                </c:pt>
                <c:pt idx="4">
                  <c:v>10</c:v>
                </c:pt>
                <c:pt idx="5">
                  <c:v>9.69</c:v>
                </c:pt>
                <c:pt idx="6">
                  <c:v>8.5</c:v>
                </c:pt>
                <c:pt idx="7">
                  <c:v>6.65</c:v>
                </c:pt>
                <c:pt idx="8">
                  <c:v>5.87</c:v>
                </c:pt>
                <c:pt idx="9">
                  <c:v>4.97</c:v>
                </c:pt>
                <c:pt idx="10">
                  <c:v>2.48</c:v>
                </c:pt>
              </c:numCache>
            </c:numRef>
          </c:val>
          <c:extLst xmlns:c16r2="http://schemas.microsoft.com/office/drawing/2015/06/chart">
            <c:ext xmlns:c16="http://schemas.microsoft.com/office/drawing/2014/chart" uri="{C3380CC4-5D6E-409C-BE32-E72D297353CC}">
              <c16:uniqueId val="{00000002-0C2E-0F43-B738-F8D8E1C369D8}"/>
            </c:ext>
          </c:extLst>
        </c:ser>
        <c:dLbls>
          <c:showLegendKey val="0"/>
          <c:showVal val="0"/>
          <c:showCatName val="0"/>
          <c:showSerName val="0"/>
          <c:showPercent val="0"/>
          <c:showBubbleSize val="0"/>
        </c:dLbls>
        <c:gapWidth val="219"/>
        <c:overlap val="-27"/>
        <c:axId val="88412544"/>
        <c:axId val="110358912"/>
      </c:barChart>
      <c:catAx>
        <c:axId val="88412544"/>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110358912"/>
        <c:crosses val="autoZero"/>
        <c:auto val="1"/>
        <c:lblAlgn val="ctr"/>
        <c:lblOffset val="100"/>
        <c:noMultiLvlLbl val="0"/>
      </c:catAx>
      <c:valAx>
        <c:axId val="110358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r>
                  <a:rPr lang="en-US" sz="900" b="1">
                    <a:solidFill>
                      <a:schemeClr val="tx1"/>
                    </a:solidFill>
                    <a:latin typeface="Arial" panose="020B0604020202020204" pitchFamily="34" charset="0"/>
                    <a:cs typeface="Arial" panose="020B0604020202020204" pitchFamily="34" charset="0"/>
                  </a:rPr>
                  <a:t>Total GHG Emissions per Capita (tCO</a:t>
                </a:r>
                <a:r>
                  <a:rPr lang="en-US" sz="900" b="1" baseline="-25000">
                    <a:solidFill>
                      <a:schemeClr val="tx1"/>
                    </a:solidFill>
                    <a:latin typeface="Arial" panose="020B0604020202020204" pitchFamily="34" charset="0"/>
                    <a:cs typeface="Arial" panose="020B0604020202020204" pitchFamily="34" charset="0"/>
                  </a:rPr>
                  <a:t>2</a:t>
                </a:r>
                <a:r>
                  <a:rPr lang="en-US" sz="900" b="1">
                    <a:solidFill>
                      <a:schemeClr val="tx1"/>
                    </a:solidFill>
                    <a:latin typeface="Arial" panose="020B0604020202020204" pitchFamily="34" charset="0"/>
                    <a:cs typeface="Arial" panose="020B0604020202020204" pitchFamily="34" charset="0"/>
                  </a:rPr>
                  <a:t>e per Capita)</a:t>
                </a:r>
              </a:p>
            </c:rich>
          </c:tx>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841254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3219680873224179"/>
          <c:y val="3.8670399689031534E-2"/>
          <c:w val="0.84480769230769204"/>
          <c:h val="0.80633362045558798"/>
        </c:manualLayout>
      </c:layout>
      <c:barChart>
        <c:barDir val="col"/>
        <c:grouping val="stacked"/>
        <c:varyColors val="0"/>
        <c:ser>
          <c:idx val="1"/>
          <c:order val="0"/>
          <c:tx>
            <c:strRef>
              <c:f>'2015_NIR_Revised'!$A$4</c:f>
              <c:strCache>
                <c:ptCount val="1"/>
                <c:pt idx="0">
                  <c:v>Transportation</c:v>
                </c:pt>
              </c:strCache>
            </c:strRef>
          </c:tx>
          <c:invertIfNegative val="0"/>
          <c:cat>
            <c:numRef>
              <c:f>'2015_NIR_Revised'!$B$3:$D$3</c:f>
              <c:numCache>
                <c:formatCode>General</c:formatCode>
                <c:ptCount val="3"/>
                <c:pt idx="0">
                  <c:v>1990</c:v>
                </c:pt>
                <c:pt idx="1">
                  <c:v>2007</c:v>
                </c:pt>
                <c:pt idx="2">
                  <c:v>2013</c:v>
                </c:pt>
              </c:numCache>
            </c:numRef>
          </c:cat>
          <c:val>
            <c:numRef>
              <c:f>'2015_NIR_Revised'!$B$4:$D$4</c:f>
              <c:numCache>
                <c:formatCode>General</c:formatCode>
                <c:ptCount val="3"/>
                <c:pt idx="0">
                  <c:v>45.9</c:v>
                </c:pt>
                <c:pt idx="1">
                  <c:v>58.9</c:v>
                </c:pt>
                <c:pt idx="2">
                  <c:v>60.2</c:v>
                </c:pt>
              </c:numCache>
            </c:numRef>
          </c:val>
          <c:extLst xmlns:c16r2="http://schemas.microsoft.com/office/drawing/2015/06/chart">
            <c:ext xmlns:c16="http://schemas.microsoft.com/office/drawing/2014/chart" uri="{C3380CC4-5D6E-409C-BE32-E72D297353CC}">
              <c16:uniqueId val="{00000000-7A1F-4A32-92A0-20858C2133B4}"/>
            </c:ext>
          </c:extLst>
        </c:ser>
        <c:ser>
          <c:idx val="2"/>
          <c:order val="1"/>
          <c:tx>
            <c:strRef>
              <c:f>'2015_NIR_Revised'!$A$5</c:f>
              <c:strCache>
                <c:ptCount val="1"/>
                <c:pt idx="0">
                  <c:v>Industry</c:v>
                </c:pt>
              </c:strCache>
            </c:strRef>
          </c:tx>
          <c:invertIfNegative val="0"/>
          <c:cat>
            <c:numRef>
              <c:f>'2015_NIR_Revised'!$B$3:$D$3</c:f>
              <c:numCache>
                <c:formatCode>General</c:formatCode>
                <c:ptCount val="3"/>
                <c:pt idx="0">
                  <c:v>1990</c:v>
                </c:pt>
                <c:pt idx="1">
                  <c:v>2007</c:v>
                </c:pt>
                <c:pt idx="2">
                  <c:v>2013</c:v>
                </c:pt>
              </c:numCache>
            </c:numRef>
          </c:cat>
          <c:val>
            <c:numRef>
              <c:f>'2015_NIR_Revised'!$B$5:$D$5</c:f>
              <c:numCache>
                <c:formatCode>General</c:formatCode>
                <c:ptCount val="3"/>
                <c:pt idx="0">
                  <c:v>64.2</c:v>
                </c:pt>
                <c:pt idx="1">
                  <c:v>60.3</c:v>
                </c:pt>
                <c:pt idx="2">
                  <c:v>47.7</c:v>
                </c:pt>
              </c:numCache>
            </c:numRef>
          </c:val>
          <c:extLst xmlns:c16r2="http://schemas.microsoft.com/office/drawing/2015/06/chart">
            <c:ext xmlns:c16="http://schemas.microsoft.com/office/drawing/2014/chart" uri="{C3380CC4-5D6E-409C-BE32-E72D297353CC}">
              <c16:uniqueId val="{00000001-7A1F-4A32-92A0-20858C2133B4}"/>
            </c:ext>
          </c:extLst>
        </c:ser>
        <c:ser>
          <c:idx val="3"/>
          <c:order val="2"/>
          <c:tx>
            <c:strRef>
              <c:f>'2015_NIR_Revised'!$A$6</c:f>
              <c:strCache>
                <c:ptCount val="1"/>
                <c:pt idx="0">
                  <c:v>Buildings</c:v>
                </c:pt>
              </c:strCache>
            </c:strRef>
          </c:tx>
          <c:invertIfNegative val="0"/>
          <c:cat>
            <c:numRef>
              <c:f>'2015_NIR_Revised'!$B$3:$D$3</c:f>
              <c:numCache>
                <c:formatCode>General</c:formatCode>
                <c:ptCount val="3"/>
                <c:pt idx="0">
                  <c:v>1990</c:v>
                </c:pt>
                <c:pt idx="1">
                  <c:v>2007</c:v>
                </c:pt>
                <c:pt idx="2">
                  <c:v>2013</c:v>
                </c:pt>
              </c:numCache>
            </c:numRef>
          </c:cat>
          <c:val>
            <c:numRef>
              <c:f>'2015_NIR_Revised'!$B$6:$D$6</c:f>
              <c:numCache>
                <c:formatCode>General</c:formatCode>
                <c:ptCount val="3"/>
                <c:pt idx="0">
                  <c:v>27.9</c:v>
                </c:pt>
                <c:pt idx="1">
                  <c:v>33.4</c:v>
                </c:pt>
                <c:pt idx="2">
                  <c:v>32.6</c:v>
                </c:pt>
              </c:numCache>
            </c:numRef>
          </c:val>
          <c:extLst xmlns:c16r2="http://schemas.microsoft.com/office/drawing/2015/06/chart">
            <c:ext xmlns:c16="http://schemas.microsoft.com/office/drawing/2014/chart" uri="{C3380CC4-5D6E-409C-BE32-E72D297353CC}">
              <c16:uniqueId val="{00000002-7A1F-4A32-92A0-20858C2133B4}"/>
            </c:ext>
          </c:extLst>
        </c:ser>
        <c:ser>
          <c:idx val="4"/>
          <c:order val="3"/>
          <c:tx>
            <c:strRef>
              <c:f>'2015_NIR_Revised'!$A$7</c:f>
              <c:strCache>
                <c:ptCount val="1"/>
                <c:pt idx="0">
                  <c:v>Electricity</c:v>
                </c:pt>
              </c:strCache>
            </c:strRef>
          </c:tx>
          <c:invertIfNegative val="0"/>
          <c:cat>
            <c:numRef>
              <c:f>'2015_NIR_Revised'!$B$3:$D$3</c:f>
              <c:numCache>
                <c:formatCode>General</c:formatCode>
                <c:ptCount val="3"/>
                <c:pt idx="0">
                  <c:v>1990</c:v>
                </c:pt>
                <c:pt idx="1">
                  <c:v>2007</c:v>
                </c:pt>
                <c:pt idx="2">
                  <c:v>2013</c:v>
                </c:pt>
              </c:numCache>
            </c:numRef>
          </c:cat>
          <c:val>
            <c:numRef>
              <c:f>'2015_NIR_Revised'!$B$7:$D$7</c:f>
              <c:numCache>
                <c:formatCode>General</c:formatCode>
                <c:ptCount val="3"/>
                <c:pt idx="0">
                  <c:v>25.8</c:v>
                </c:pt>
                <c:pt idx="1">
                  <c:v>32.9</c:v>
                </c:pt>
                <c:pt idx="2">
                  <c:v>10.9</c:v>
                </c:pt>
              </c:numCache>
            </c:numRef>
          </c:val>
          <c:extLst xmlns:c16r2="http://schemas.microsoft.com/office/drawing/2015/06/chart">
            <c:ext xmlns:c16="http://schemas.microsoft.com/office/drawing/2014/chart" uri="{C3380CC4-5D6E-409C-BE32-E72D297353CC}">
              <c16:uniqueId val="{00000003-7A1F-4A32-92A0-20858C2133B4}"/>
            </c:ext>
          </c:extLst>
        </c:ser>
        <c:ser>
          <c:idx val="5"/>
          <c:order val="4"/>
          <c:tx>
            <c:strRef>
              <c:f>'2015_NIR_Revised'!$A$8</c:f>
              <c:strCache>
                <c:ptCount val="1"/>
                <c:pt idx="0">
                  <c:v>Agriculture</c:v>
                </c:pt>
              </c:strCache>
            </c:strRef>
          </c:tx>
          <c:invertIfNegative val="0"/>
          <c:cat>
            <c:numRef>
              <c:f>'2015_NIR_Revised'!$B$3:$D$3</c:f>
              <c:numCache>
                <c:formatCode>General</c:formatCode>
                <c:ptCount val="3"/>
                <c:pt idx="0">
                  <c:v>1990</c:v>
                </c:pt>
                <c:pt idx="1">
                  <c:v>2007</c:v>
                </c:pt>
                <c:pt idx="2">
                  <c:v>2013</c:v>
                </c:pt>
              </c:numCache>
            </c:numRef>
          </c:cat>
          <c:val>
            <c:numRef>
              <c:f>'2015_NIR_Revised'!$B$8:$D$8</c:f>
              <c:numCache>
                <c:formatCode>General</c:formatCode>
                <c:ptCount val="3"/>
                <c:pt idx="0">
                  <c:v>11</c:v>
                </c:pt>
                <c:pt idx="1">
                  <c:v>10.5</c:v>
                </c:pt>
                <c:pt idx="2">
                  <c:v>10</c:v>
                </c:pt>
              </c:numCache>
            </c:numRef>
          </c:val>
          <c:extLst xmlns:c16r2="http://schemas.microsoft.com/office/drawing/2015/06/chart">
            <c:ext xmlns:c16="http://schemas.microsoft.com/office/drawing/2014/chart" uri="{C3380CC4-5D6E-409C-BE32-E72D297353CC}">
              <c16:uniqueId val="{00000004-7A1F-4A32-92A0-20858C2133B4}"/>
            </c:ext>
          </c:extLst>
        </c:ser>
        <c:ser>
          <c:idx val="6"/>
          <c:order val="5"/>
          <c:tx>
            <c:strRef>
              <c:f>'2015_NIR_Revised'!$A$9</c:f>
              <c:strCache>
                <c:ptCount val="1"/>
                <c:pt idx="0">
                  <c:v>Waste</c:v>
                </c:pt>
              </c:strCache>
            </c:strRef>
          </c:tx>
          <c:invertIfNegative val="0"/>
          <c:cat>
            <c:numRef>
              <c:f>'2015_NIR_Revised'!$B$3:$D$3</c:f>
              <c:numCache>
                <c:formatCode>General</c:formatCode>
                <c:ptCount val="3"/>
                <c:pt idx="0">
                  <c:v>1990</c:v>
                </c:pt>
                <c:pt idx="1">
                  <c:v>2007</c:v>
                </c:pt>
                <c:pt idx="2">
                  <c:v>2013</c:v>
                </c:pt>
              </c:numCache>
            </c:numRef>
          </c:cat>
          <c:val>
            <c:numRef>
              <c:f>'2015_NIR_Revised'!$B$9:$D$9</c:f>
              <c:numCache>
                <c:formatCode>General</c:formatCode>
                <c:ptCount val="3"/>
                <c:pt idx="0">
                  <c:v>7.5</c:v>
                </c:pt>
                <c:pt idx="1">
                  <c:v>9.6</c:v>
                </c:pt>
                <c:pt idx="2">
                  <c:v>9</c:v>
                </c:pt>
              </c:numCache>
            </c:numRef>
          </c:val>
          <c:extLst xmlns:c16r2="http://schemas.microsoft.com/office/drawing/2015/06/chart">
            <c:ext xmlns:c16="http://schemas.microsoft.com/office/drawing/2014/chart" uri="{C3380CC4-5D6E-409C-BE32-E72D297353CC}">
              <c16:uniqueId val="{00000005-7A1F-4A32-92A0-20858C2133B4}"/>
            </c:ext>
          </c:extLst>
        </c:ser>
        <c:dLbls>
          <c:showLegendKey val="0"/>
          <c:showVal val="0"/>
          <c:showCatName val="0"/>
          <c:showSerName val="0"/>
          <c:showPercent val="0"/>
          <c:showBubbleSize val="0"/>
        </c:dLbls>
        <c:gapWidth val="150"/>
        <c:overlap val="100"/>
        <c:axId val="62133760"/>
        <c:axId val="62135296"/>
      </c:barChart>
      <c:catAx>
        <c:axId val="62133760"/>
        <c:scaling>
          <c:orientation val="minMax"/>
        </c:scaling>
        <c:delete val="0"/>
        <c:axPos val="b"/>
        <c:numFmt formatCode="General" sourceLinked="1"/>
        <c:majorTickMark val="none"/>
        <c:minorTickMark val="none"/>
        <c:tickLblPos val="nextTo"/>
        <c:spPr>
          <a:ln>
            <a:solidFill>
              <a:schemeClr val="tx1"/>
            </a:solidFill>
          </a:ln>
        </c:spPr>
        <c:txPr>
          <a:bodyPr rot="-60000000" vert="horz"/>
          <a:lstStyle/>
          <a:p>
            <a:pPr>
              <a:defRPr sz="850">
                <a:latin typeface="Arial" panose="020B0604020202020204" pitchFamily="34" charset="0"/>
                <a:cs typeface="Arial" panose="020B0604020202020204" pitchFamily="34" charset="0"/>
              </a:defRPr>
            </a:pPr>
            <a:endParaRPr lang="en-US"/>
          </a:p>
        </c:txPr>
        <c:crossAx val="62135296"/>
        <c:crosses val="autoZero"/>
        <c:auto val="1"/>
        <c:lblAlgn val="ctr"/>
        <c:lblOffset val="100"/>
        <c:noMultiLvlLbl val="0"/>
      </c:catAx>
      <c:valAx>
        <c:axId val="62135296"/>
        <c:scaling>
          <c:orientation val="minMax"/>
        </c:scaling>
        <c:delete val="0"/>
        <c:axPos val="l"/>
        <c:majorGridlines>
          <c:spPr>
            <a:ln w="9525">
              <a:solidFill>
                <a:schemeClr val="bg1">
                  <a:lumMod val="75000"/>
                </a:schemeClr>
              </a:solidFill>
            </a:ln>
          </c:spPr>
        </c:majorGridlines>
        <c:title>
          <c:tx>
            <c:rich>
              <a:bodyPr rot="-5400000" vert="horz"/>
              <a:lstStyle/>
              <a:p>
                <a:pPr>
                  <a:defRPr sz="850">
                    <a:latin typeface="Arial" panose="020B0604020202020204" pitchFamily="34" charset="0"/>
                    <a:cs typeface="Arial" panose="020B0604020202020204" pitchFamily="34" charset="0"/>
                  </a:defRPr>
                </a:pPr>
                <a:r>
                  <a:rPr lang="en-US" sz="850">
                    <a:latin typeface="Arial" panose="020B0604020202020204" pitchFamily="34" charset="0"/>
                    <a:cs typeface="Arial" panose="020B0604020202020204" pitchFamily="34" charset="0"/>
                  </a:rPr>
                  <a:t>Megatonnes of Carbon Dioxide Equivalent</a:t>
                </a:r>
              </a:p>
            </c:rich>
          </c:tx>
          <c:layout>
            <c:manualLayout>
              <c:xMode val="edge"/>
              <c:yMode val="edge"/>
              <c:x val="1.4066991626046745E-2"/>
              <c:y val="0.11905504807229317"/>
            </c:manualLayout>
          </c:layout>
          <c:overlay val="0"/>
        </c:title>
        <c:numFmt formatCode="General" sourceLinked="1"/>
        <c:majorTickMark val="none"/>
        <c:minorTickMark val="none"/>
        <c:tickLblPos val="nextTo"/>
        <c:spPr>
          <a:ln>
            <a:solidFill>
              <a:schemeClr val="tx1"/>
            </a:solidFill>
          </a:ln>
        </c:spPr>
        <c:txPr>
          <a:bodyPr rot="-60000000" vert="horz"/>
          <a:lstStyle/>
          <a:p>
            <a:pPr>
              <a:defRPr sz="850">
                <a:latin typeface="Arial" panose="020B0604020202020204" pitchFamily="34" charset="0"/>
                <a:cs typeface="Arial" panose="020B0604020202020204" pitchFamily="34" charset="0"/>
              </a:defRPr>
            </a:pPr>
            <a:endParaRPr lang="en-US"/>
          </a:p>
        </c:txPr>
        <c:crossAx val="62133760"/>
        <c:crosses val="autoZero"/>
        <c:crossBetween val="between"/>
      </c:valAx>
    </c:plotArea>
    <c:legend>
      <c:legendPos val="b"/>
      <c:layout/>
      <c:overlay val="0"/>
      <c:txPr>
        <a:bodyPr rot="0" vert="horz"/>
        <a:lstStyle/>
        <a:p>
          <a:pPr>
            <a:defRPr sz="850">
              <a:latin typeface="Arial" panose="020B0604020202020204" pitchFamily="34" charset="0"/>
              <a:cs typeface="Arial" panose="020B0604020202020204" pitchFamily="34" charset="0"/>
            </a:defRPr>
          </a:pPr>
          <a:endParaRPr lang="en-US"/>
        </a:p>
      </c:txPr>
    </c:legend>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254171932212178"/>
          <c:y val="1.7908194476403207E-2"/>
          <c:w val="0.75044181977252844"/>
          <c:h val="0.82573843451321971"/>
        </c:manualLayout>
      </c:layout>
      <c:scatterChart>
        <c:scatterStyle val="lineMarker"/>
        <c:varyColors val="0"/>
        <c:ser>
          <c:idx val="0"/>
          <c:order val="0"/>
          <c:tx>
            <c:strRef>
              <c:f>'Original Data'!$K$14</c:f>
              <c:strCache>
                <c:ptCount val="1"/>
                <c:pt idx="0">
                  <c:v>TransAlta</c:v>
                </c:pt>
              </c:strCache>
            </c:strRef>
          </c:tx>
          <c:spPr>
            <a:ln w="22225" cap="rnd">
              <a:solidFill>
                <a:schemeClr val="tx1"/>
              </a:solidFill>
              <a:round/>
            </a:ln>
            <a:effectLst/>
          </c:spPr>
          <c:marker>
            <c:symbol val="diamond"/>
            <c:size val="5"/>
            <c:spPr>
              <a:solidFill>
                <a:schemeClr val="tx1"/>
              </a:solidFill>
              <a:ln w="28575">
                <a:solidFill>
                  <a:schemeClr val="tx1"/>
                </a:solidFill>
              </a:ln>
              <a:effectLst/>
            </c:spPr>
          </c:marker>
          <c:dLbls>
            <c:dLbl>
              <c:idx val="10"/>
              <c:layout>
                <c:manualLayout>
                  <c:x val="-1.0903533343075739E-16"/>
                  <c:y val="-4.9278429919379779E-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A9D1-3342-AC1A-AFCADF8148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'Original Data'!$J$15:$J$25</c:f>
              <c:numCache>
                <c:formatCode>General</c:formatCode>
                <c:ptCount val="11"/>
                <c:pt idx="0">
                  <c:v>2004</c:v>
                </c:pt>
                <c:pt idx="1">
                  <c:v>2005</c:v>
                </c:pt>
                <c:pt idx="2">
                  <c:v>2006</c:v>
                </c:pt>
                <c:pt idx="3">
                  <c:v>2007</c:v>
                </c:pt>
                <c:pt idx="4">
                  <c:v>2008</c:v>
                </c:pt>
                <c:pt idx="5">
                  <c:v>2009</c:v>
                </c:pt>
                <c:pt idx="6">
                  <c:v>2010</c:v>
                </c:pt>
                <c:pt idx="7">
                  <c:v>2011</c:v>
                </c:pt>
                <c:pt idx="8">
                  <c:v>2012</c:v>
                </c:pt>
                <c:pt idx="9">
                  <c:v>2013</c:v>
                </c:pt>
                <c:pt idx="10">
                  <c:v>2014</c:v>
                </c:pt>
              </c:numCache>
            </c:numRef>
          </c:xVal>
          <c:yVal>
            <c:numRef>
              <c:f>'Original Data'!$K$15:$K$25</c:f>
              <c:numCache>
                <c:formatCode>_-* #,##0_-;\-* #,##0_-;_-* "-"??_-;_-@_-</c:formatCode>
                <c:ptCount val="11"/>
                <c:pt idx="0">
                  <c:v>1820216</c:v>
                </c:pt>
                <c:pt idx="1">
                  <c:v>1892558</c:v>
                </c:pt>
                <c:pt idx="2">
                  <c:v>1791995</c:v>
                </c:pt>
                <c:pt idx="3">
                  <c:v>2027903</c:v>
                </c:pt>
                <c:pt idx="4">
                  <c:v>1858839</c:v>
                </c:pt>
                <c:pt idx="5">
                  <c:v>1839657</c:v>
                </c:pt>
                <c:pt idx="6">
                  <c:v>1998616</c:v>
                </c:pt>
                <c:pt idx="7">
                  <c:v>1903319</c:v>
                </c:pt>
                <c:pt idx="8">
                  <c:v>2033315</c:v>
                </c:pt>
                <c:pt idx="9">
                  <c:v>1881930</c:v>
                </c:pt>
                <c:pt idx="10">
                  <c:v>1699715</c:v>
                </c:pt>
              </c:numCache>
            </c:numRef>
          </c:yVal>
          <c:smooth val="0"/>
          <c:extLst xmlns:c16r2="http://schemas.microsoft.com/office/drawing/2015/06/chart">
            <c:ext xmlns:c16="http://schemas.microsoft.com/office/drawing/2014/chart" uri="{C3380CC4-5D6E-409C-BE32-E72D297353CC}">
              <c16:uniqueId val="{00000001-A9D1-3342-AC1A-AFCADF814867}"/>
            </c:ext>
          </c:extLst>
        </c:ser>
        <c:ser>
          <c:idx val="1"/>
          <c:order val="1"/>
          <c:tx>
            <c:strRef>
              <c:f>'Original Data'!$L$14</c:f>
              <c:strCache>
                <c:ptCount val="1"/>
                <c:pt idx="0">
                  <c:v>Lafarge</c:v>
                </c:pt>
              </c:strCache>
            </c:strRef>
          </c:tx>
          <c:spPr>
            <a:ln w="22225" cap="rnd">
              <a:solidFill>
                <a:schemeClr val="bg1">
                  <a:lumMod val="50000"/>
                </a:schemeClr>
              </a:solidFill>
              <a:round/>
            </a:ln>
            <a:effectLst/>
          </c:spPr>
          <c:marker>
            <c:symbol val="square"/>
            <c:size val="5"/>
            <c:spPr>
              <a:solidFill>
                <a:schemeClr val="bg1">
                  <a:lumMod val="65000"/>
                </a:schemeClr>
              </a:solidFill>
              <a:ln w="28575">
                <a:noFill/>
              </a:ln>
              <a:effectLst/>
            </c:spPr>
          </c:marker>
          <c:dLbls>
            <c:dLbl>
              <c:idx val="10"/>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A9D1-3342-AC1A-AFCADF8148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'Original Data'!$J$15:$J$25</c:f>
              <c:numCache>
                <c:formatCode>General</c:formatCode>
                <c:ptCount val="11"/>
                <c:pt idx="0">
                  <c:v>2004</c:v>
                </c:pt>
                <c:pt idx="1">
                  <c:v>2005</c:v>
                </c:pt>
                <c:pt idx="2">
                  <c:v>2006</c:v>
                </c:pt>
                <c:pt idx="3">
                  <c:v>2007</c:v>
                </c:pt>
                <c:pt idx="4">
                  <c:v>2008</c:v>
                </c:pt>
                <c:pt idx="5">
                  <c:v>2009</c:v>
                </c:pt>
                <c:pt idx="6">
                  <c:v>2010</c:v>
                </c:pt>
                <c:pt idx="7">
                  <c:v>2011</c:v>
                </c:pt>
                <c:pt idx="8">
                  <c:v>2012</c:v>
                </c:pt>
                <c:pt idx="9">
                  <c:v>2013</c:v>
                </c:pt>
                <c:pt idx="10">
                  <c:v>2014</c:v>
                </c:pt>
              </c:numCache>
            </c:numRef>
          </c:xVal>
          <c:yVal>
            <c:numRef>
              <c:f>'Original Data'!$L$15:$L$25</c:f>
              <c:numCache>
                <c:formatCode>_-* #,##0_-;\-* #,##0_-;_-* "-"??_-;_-@_-</c:formatCode>
                <c:ptCount val="11"/>
                <c:pt idx="0">
                  <c:v>1257825</c:v>
                </c:pt>
                <c:pt idx="1">
                  <c:v>1305864</c:v>
                </c:pt>
                <c:pt idx="2">
                  <c:v>1351764</c:v>
                </c:pt>
                <c:pt idx="3">
                  <c:v>1324718</c:v>
                </c:pt>
                <c:pt idx="4">
                  <c:v>1001579</c:v>
                </c:pt>
                <c:pt idx="5">
                  <c:v>679154</c:v>
                </c:pt>
                <c:pt idx="6">
                  <c:v>732521</c:v>
                </c:pt>
                <c:pt idx="7">
                  <c:v>705397</c:v>
                </c:pt>
                <c:pt idx="8">
                  <c:v>780790</c:v>
                </c:pt>
                <c:pt idx="9">
                  <c:v>628137</c:v>
                </c:pt>
                <c:pt idx="10">
                  <c:v>656540</c:v>
                </c:pt>
              </c:numCache>
            </c:numRef>
          </c:yVal>
          <c:smooth val="0"/>
          <c:extLst xmlns:c16r2="http://schemas.microsoft.com/office/drawing/2015/06/chart">
            <c:ext xmlns:c16="http://schemas.microsoft.com/office/drawing/2014/chart" uri="{C3380CC4-5D6E-409C-BE32-E72D297353CC}">
              <c16:uniqueId val="{00000003-A9D1-3342-AC1A-AFCADF814867}"/>
            </c:ext>
          </c:extLst>
        </c:ser>
        <c:ser>
          <c:idx val="2"/>
          <c:order val="2"/>
          <c:tx>
            <c:strRef>
              <c:f>'Original Data'!$M$14</c:f>
              <c:strCache>
                <c:ptCount val="1"/>
                <c:pt idx="0">
                  <c:v>GM</c:v>
                </c:pt>
              </c:strCache>
            </c:strRef>
          </c:tx>
          <c:spPr>
            <a:ln w="22225" cap="rnd">
              <a:solidFill>
                <a:schemeClr val="bg1">
                  <a:lumMod val="75000"/>
                </a:schemeClr>
              </a:solidFill>
              <a:round/>
            </a:ln>
            <a:effectLst/>
          </c:spPr>
          <c:marker>
            <c:symbol val="triangle"/>
            <c:size val="5"/>
            <c:spPr>
              <a:solidFill>
                <a:schemeClr val="bg1">
                  <a:lumMod val="75000"/>
                </a:schemeClr>
              </a:solidFill>
              <a:ln w="9525">
                <a:solidFill>
                  <a:schemeClr val="bg1">
                    <a:lumMod val="75000"/>
                  </a:schemeClr>
                </a:solidFill>
              </a:ln>
              <a:effectLst/>
            </c:spPr>
          </c:marker>
          <c:dLbls>
            <c:dLbl>
              <c:idx val="10"/>
              <c:layout>
                <c:manualLayout>
                  <c:x val="-8.9211757922373989E-3"/>
                  <c:y val="-3.4494900943565526E-2"/>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A9D1-3342-AC1A-AFCADF8148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'Original Data'!$J$15:$J$25</c:f>
              <c:numCache>
                <c:formatCode>General</c:formatCode>
                <c:ptCount val="11"/>
                <c:pt idx="0">
                  <c:v>2004</c:v>
                </c:pt>
                <c:pt idx="1">
                  <c:v>2005</c:v>
                </c:pt>
                <c:pt idx="2">
                  <c:v>2006</c:v>
                </c:pt>
                <c:pt idx="3">
                  <c:v>2007</c:v>
                </c:pt>
                <c:pt idx="4">
                  <c:v>2008</c:v>
                </c:pt>
                <c:pt idx="5">
                  <c:v>2009</c:v>
                </c:pt>
                <c:pt idx="6">
                  <c:v>2010</c:v>
                </c:pt>
                <c:pt idx="7">
                  <c:v>2011</c:v>
                </c:pt>
                <c:pt idx="8">
                  <c:v>2012</c:v>
                </c:pt>
                <c:pt idx="9">
                  <c:v>2013</c:v>
                </c:pt>
                <c:pt idx="10">
                  <c:v>2014</c:v>
                </c:pt>
              </c:numCache>
            </c:numRef>
          </c:xVal>
          <c:yVal>
            <c:numRef>
              <c:f>'Original Data'!$M$15:$M$25</c:f>
              <c:numCache>
                <c:formatCode>_-* #,##0_-;\-* #,##0_-;_-* "-"??_-;_-@_-</c:formatCode>
                <c:ptCount val="11"/>
                <c:pt idx="0">
                  <c:v>280538</c:v>
                </c:pt>
                <c:pt idx="1">
                  <c:v>271711</c:v>
                </c:pt>
                <c:pt idx="2">
                  <c:v>182546</c:v>
                </c:pt>
                <c:pt idx="3">
                  <c:v>270968</c:v>
                </c:pt>
                <c:pt idx="4">
                  <c:v>126408</c:v>
                </c:pt>
                <c:pt idx="5">
                  <c:v>108487</c:v>
                </c:pt>
                <c:pt idx="6">
                  <c:v>133381</c:v>
                </c:pt>
                <c:pt idx="7">
                  <c:v>140178</c:v>
                </c:pt>
                <c:pt idx="8">
                  <c:v>113255</c:v>
                </c:pt>
                <c:pt idx="9">
                  <c:v>130156</c:v>
                </c:pt>
                <c:pt idx="10">
                  <c:v>113318</c:v>
                </c:pt>
              </c:numCache>
            </c:numRef>
          </c:yVal>
          <c:smooth val="0"/>
          <c:extLst xmlns:c16r2="http://schemas.microsoft.com/office/drawing/2015/06/chart">
            <c:ext xmlns:c16="http://schemas.microsoft.com/office/drawing/2014/chart" uri="{C3380CC4-5D6E-409C-BE32-E72D297353CC}">
              <c16:uniqueId val="{00000005-A9D1-3342-AC1A-AFCADF814867}"/>
            </c:ext>
          </c:extLst>
        </c:ser>
        <c:ser>
          <c:idx val="3"/>
          <c:order val="3"/>
          <c:tx>
            <c:strRef>
              <c:f>'Original Data'!$N$14</c:f>
              <c:strCache>
                <c:ptCount val="1"/>
                <c:pt idx="0">
                  <c:v>Campbell's Soup Company</c:v>
                </c:pt>
              </c:strCache>
            </c:strRef>
          </c:tx>
          <c:spPr>
            <a:ln w="22225" cap="rnd">
              <a:solidFill>
                <a:schemeClr val="tx1">
                  <a:lumMod val="50000"/>
                  <a:lumOff val="50000"/>
                </a:schemeClr>
              </a:solidFill>
              <a:round/>
            </a:ln>
            <a:effectLst/>
          </c:spPr>
          <c:marker>
            <c:symbol val="x"/>
            <c:size val="5"/>
            <c:spPr>
              <a:noFill/>
              <a:ln w="9525">
                <a:solidFill>
                  <a:schemeClr val="tx1">
                    <a:lumMod val="50000"/>
                    <a:lumOff val="50000"/>
                  </a:schemeClr>
                </a:solidFill>
              </a:ln>
              <a:effectLst/>
            </c:spPr>
          </c:marker>
          <c:dLbls>
            <c:dLbl>
              <c:idx val="4"/>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A9D1-3342-AC1A-AFCADF8148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'Original Data'!$J$21:$J$25</c:f>
              <c:numCache>
                <c:formatCode>General</c:formatCode>
                <c:ptCount val="5"/>
                <c:pt idx="0">
                  <c:v>2010</c:v>
                </c:pt>
                <c:pt idx="1">
                  <c:v>2011</c:v>
                </c:pt>
                <c:pt idx="2">
                  <c:v>2012</c:v>
                </c:pt>
                <c:pt idx="3">
                  <c:v>2013</c:v>
                </c:pt>
                <c:pt idx="4">
                  <c:v>2014</c:v>
                </c:pt>
              </c:numCache>
            </c:numRef>
          </c:xVal>
          <c:yVal>
            <c:numRef>
              <c:f>'Original Data'!$N$21:$N$25</c:f>
              <c:numCache>
                <c:formatCode>_-* #,##0_-;\-* #,##0_-;_-* "-"??_-;_-@_-</c:formatCode>
                <c:ptCount val="5"/>
                <c:pt idx="0">
                  <c:v>25271</c:v>
                </c:pt>
                <c:pt idx="1">
                  <c:v>23557</c:v>
                </c:pt>
                <c:pt idx="2">
                  <c:v>22000</c:v>
                </c:pt>
                <c:pt idx="3">
                  <c:v>22000</c:v>
                </c:pt>
                <c:pt idx="4">
                  <c:v>25387</c:v>
                </c:pt>
              </c:numCache>
            </c:numRef>
          </c:yVal>
          <c:smooth val="0"/>
          <c:extLst xmlns:c16r2="http://schemas.microsoft.com/office/drawing/2015/06/chart">
            <c:ext xmlns:c16="http://schemas.microsoft.com/office/drawing/2014/chart" uri="{C3380CC4-5D6E-409C-BE32-E72D297353CC}">
              <c16:uniqueId val="{00000007-A9D1-3342-AC1A-AFCADF814867}"/>
            </c:ext>
          </c:extLst>
        </c:ser>
        <c:dLbls>
          <c:showLegendKey val="0"/>
          <c:showVal val="0"/>
          <c:showCatName val="0"/>
          <c:showSerName val="0"/>
          <c:showPercent val="0"/>
          <c:showBubbleSize val="0"/>
        </c:dLbls>
        <c:axId val="64160896"/>
        <c:axId val="64162432"/>
      </c:scatterChart>
      <c:valAx>
        <c:axId val="64160896"/>
        <c:scaling>
          <c:orientation val="minMax"/>
          <c:max val="2014"/>
          <c:min val="2009"/>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64162432"/>
        <c:crosses val="autoZero"/>
        <c:crossBetween val="midCat"/>
        <c:majorUnit val="1"/>
      </c:valAx>
      <c:valAx>
        <c:axId val="64162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n-CA">
                    <a:solidFill>
                      <a:schemeClr val="tx1"/>
                    </a:solidFill>
                    <a:latin typeface="Arial" panose="020B0604020202020204" pitchFamily="34" charset="0"/>
                    <a:cs typeface="Arial" panose="020B0604020202020204" pitchFamily="34" charset="0"/>
                  </a:rPr>
                  <a:t>Tonnes of </a:t>
                </a:r>
                <a:r>
                  <a:rPr lang="en-US">
                    <a:solidFill>
                      <a:schemeClr val="tx1"/>
                    </a:solidFill>
                    <a:latin typeface="Arial" panose="020B0604020202020204" pitchFamily="34" charset="0"/>
                    <a:cs typeface="Arial" panose="020B0604020202020204" pitchFamily="34" charset="0"/>
                  </a:rPr>
                  <a:t>CO</a:t>
                </a:r>
                <a:r>
                  <a:rPr lang="en-US" baseline="-25000">
                    <a:solidFill>
                      <a:schemeClr val="tx1"/>
                    </a:solidFill>
                    <a:latin typeface="Arial" panose="020B0604020202020204" pitchFamily="34" charset="0"/>
                    <a:cs typeface="Arial" panose="020B0604020202020204" pitchFamily="34" charset="0"/>
                  </a:rPr>
                  <a:t>2</a:t>
                </a:r>
                <a:r>
                  <a:rPr lang="en-US">
                    <a:solidFill>
                      <a:schemeClr val="tx1"/>
                    </a:solidFill>
                    <a:latin typeface="Arial" panose="020B0604020202020204" pitchFamily="34" charset="0"/>
                    <a:cs typeface="Arial" panose="020B0604020202020204" pitchFamily="34" charset="0"/>
                  </a:rPr>
                  <a:t>e</a:t>
                </a:r>
                <a:endParaRPr lang="en-CA">
                  <a:solidFill>
                    <a:schemeClr val="tx1"/>
                  </a:solidFill>
                  <a:latin typeface="Arial" panose="020B0604020202020204" pitchFamily="34" charset="0"/>
                  <a:cs typeface="Arial" panose="020B0604020202020204" pitchFamily="34" charset="0"/>
                </a:endParaRPr>
              </a:p>
            </c:rich>
          </c:tx>
          <c:layout>
            <c:manualLayout>
              <c:xMode val="edge"/>
              <c:yMode val="edge"/>
              <c:x val="6.1712193383234512E-3"/>
              <c:y val="0.29070720222694901"/>
            </c:manualLayout>
          </c:layout>
          <c:overlay val="0"/>
          <c:spPr>
            <a:noFill/>
            <a:ln>
              <a:noFill/>
            </a:ln>
            <a:effectLst/>
          </c:spPr>
        </c:title>
        <c:numFmt formatCode="#,##0"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64160896"/>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legend>
    <c:plotVisOnly val="1"/>
    <c:dispBlanksAs val="zero"/>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0.22504</cdr:x>
      <cdr:y>0.1972</cdr:y>
    </cdr:from>
    <cdr:to>
      <cdr:x>0.33257</cdr:x>
      <cdr:y>0.29303</cdr:y>
    </cdr:to>
    <cdr:sp macro="" textlink="">
      <cdr:nvSpPr>
        <cdr:cNvPr id="2" name="Text Box 1"/>
        <cdr:cNvSpPr txBox="1"/>
      </cdr:nvSpPr>
      <cdr:spPr>
        <a:xfrm xmlns:a="http://schemas.openxmlformats.org/drawingml/2006/main">
          <a:off x="1079893" y="563121"/>
          <a:ext cx="515995" cy="27364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850">
              <a:latin typeface="Arial" charset="0"/>
              <a:ea typeface="Arial" charset="0"/>
              <a:cs typeface="Arial" charset="0"/>
            </a:rPr>
            <a:t>182.0</a:t>
          </a:r>
        </a:p>
      </cdr:txBody>
    </cdr:sp>
  </cdr:relSizeAnchor>
  <cdr:relSizeAnchor xmlns:cdr="http://schemas.openxmlformats.org/drawingml/2006/chartDrawing">
    <cdr:from>
      <cdr:x>0.52788</cdr:x>
      <cdr:y>0.11996</cdr:y>
    </cdr:from>
    <cdr:to>
      <cdr:x>0.60481</cdr:x>
      <cdr:y>0.20022</cdr:y>
    </cdr:to>
    <cdr:sp macro="" textlink="">
      <cdr:nvSpPr>
        <cdr:cNvPr id="3" name="Text Box 1"/>
        <cdr:cNvSpPr txBox="1"/>
      </cdr:nvSpPr>
      <cdr:spPr>
        <a:xfrm xmlns:a="http://schemas.openxmlformats.org/drawingml/2006/main">
          <a:off x="3137535" y="512494"/>
          <a:ext cx="457200" cy="342900"/>
        </a:xfrm>
        <a:prstGeom xmlns:a="http://schemas.openxmlformats.org/drawingml/2006/main" prst="rect">
          <a:avLst/>
        </a:prstGeom>
      </cdr:spPr>
    </cdr:sp>
  </cdr:relSizeAnchor>
  <cdr:relSizeAnchor xmlns:cdr="http://schemas.openxmlformats.org/drawingml/2006/chartDrawing">
    <cdr:from>
      <cdr:x>0.24797</cdr:x>
      <cdr:y>0.21211</cdr:y>
    </cdr:from>
    <cdr:to>
      <cdr:x>0.32489</cdr:x>
      <cdr:y>0.29237</cdr:y>
    </cdr:to>
    <cdr:sp macro="" textlink="">
      <cdr:nvSpPr>
        <cdr:cNvPr id="4" name="Text Box 1"/>
        <cdr:cNvSpPr txBox="1"/>
      </cdr:nvSpPr>
      <cdr:spPr>
        <a:xfrm xmlns:a="http://schemas.openxmlformats.org/drawingml/2006/main">
          <a:off x="1473835" y="906194"/>
          <a:ext cx="457200" cy="342900"/>
        </a:xfrm>
        <a:prstGeom xmlns:a="http://schemas.openxmlformats.org/drawingml/2006/main" prst="rect">
          <a:avLst/>
        </a:prstGeom>
      </cdr:spPr>
    </cdr:sp>
  </cdr:relSizeAnchor>
  <cdr:relSizeAnchor xmlns:cdr="http://schemas.openxmlformats.org/drawingml/2006/chartDrawing">
    <cdr:from>
      <cdr:x>0.4125</cdr:x>
      <cdr:y>0.14671</cdr:y>
    </cdr:from>
    <cdr:to>
      <cdr:x>0.48942</cdr:x>
      <cdr:y>0.22697</cdr:y>
    </cdr:to>
    <cdr:sp macro="" textlink="">
      <cdr:nvSpPr>
        <cdr:cNvPr id="5" name="Text Box 1"/>
        <cdr:cNvSpPr txBox="1"/>
      </cdr:nvSpPr>
      <cdr:spPr>
        <a:xfrm xmlns:a="http://schemas.openxmlformats.org/drawingml/2006/main">
          <a:off x="2451735" y="626794"/>
          <a:ext cx="457200" cy="342900"/>
        </a:xfrm>
        <a:prstGeom xmlns:a="http://schemas.openxmlformats.org/drawingml/2006/main" prst="rect">
          <a:avLst/>
        </a:prstGeom>
      </cdr:spPr>
    </cdr:sp>
  </cdr:relSizeAnchor>
  <cdr:relSizeAnchor xmlns:cdr="http://schemas.openxmlformats.org/drawingml/2006/chartDrawing">
    <cdr:from>
      <cdr:x>0.50782</cdr:x>
      <cdr:y>0.12099</cdr:y>
    </cdr:from>
    <cdr:to>
      <cdr:x>0.6117</cdr:x>
      <cdr:y>0.20125</cdr:y>
    </cdr:to>
    <cdr:sp macro="" textlink="">
      <cdr:nvSpPr>
        <cdr:cNvPr id="6" name="Text Box 1"/>
        <cdr:cNvSpPr txBox="1"/>
      </cdr:nvSpPr>
      <cdr:spPr>
        <a:xfrm xmlns:a="http://schemas.openxmlformats.org/drawingml/2006/main">
          <a:off x="2436873" y="345491"/>
          <a:ext cx="498489" cy="229190"/>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en-US" sz="850">
              <a:latin typeface="Arial" charset="0"/>
              <a:ea typeface="Arial" charset="0"/>
              <a:cs typeface="Arial" charset="0"/>
            </a:rPr>
            <a:t>205.5</a:t>
          </a:r>
        </a:p>
      </cdr:txBody>
    </cdr:sp>
  </cdr:relSizeAnchor>
  <cdr:relSizeAnchor xmlns:cdr="http://schemas.openxmlformats.org/drawingml/2006/chartDrawing">
    <cdr:from>
      <cdr:x>0.78917</cdr:x>
      <cdr:y>0.2385</cdr:y>
    </cdr:from>
    <cdr:to>
      <cdr:x>0.88605</cdr:x>
      <cdr:y>0.31876</cdr:y>
    </cdr:to>
    <cdr:sp macro="" textlink="">
      <cdr:nvSpPr>
        <cdr:cNvPr id="7" name="Text Box 1"/>
        <cdr:cNvSpPr txBox="1"/>
      </cdr:nvSpPr>
      <cdr:spPr>
        <a:xfrm xmlns:a="http://schemas.openxmlformats.org/drawingml/2006/main">
          <a:off x="3786996" y="681059"/>
          <a:ext cx="464893" cy="229190"/>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en-US" sz="850">
              <a:latin typeface="Arial" charset="0"/>
              <a:ea typeface="Arial" charset="0"/>
              <a:cs typeface="Arial" charset="0"/>
            </a:rPr>
            <a:t>171.0</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59FD12-FAA6-4129-863A-DB1A1F4FB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8</Pages>
  <Words>2721</Words>
  <Characters>15512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18197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Karen Pepers1</cp:lastModifiedBy>
  <cp:revision>8</cp:revision>
  <cp:lastPrinted>2015-03-04T20:34:00Z</cp:lastPrinted>
  <dcterms:created xsi:type="dcterms:W3CDTF">2018-09-11T12:08:00Z</dcterms:created>
  <dcterms:modified xsi:type="dcterms:W3CDTF">2018-09-17T13:33:00Z</dcterms:modified>
</cp:coreProperties>
</file>